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6E74" w14:textId="00593799" w:rsidR="00D12A24" w:rsidRPr="00D12A24" w:rsidRDefault="00D12A24" w:rsidP="00D12A24">
      <w:pPr>
        <w:spacing w:after="0" w:line="240" w:lineRule="auto"/>
        <w:jc w:val="center"/>
        <w:rPr>
          <w:sz w:val="28"/>
          <w:szCs w:val="28"/>
        </w:rPr>
      </w:pPr>
      <w:r w:rsidRPr="00D12A24">
        <w:rPr>
          <w:sz w:val="28"/>
          <w:szCs w:val="28"/>
        </w:rPr>
        <w:t xml:space="preserve">Sciences </w:t>
      </w:r>
      <w:r w:rsidR="001D2901">
        <w:rPr>
          <w:sz w:val="28"/>
          <w:szCs w:val="28"/>
        </w:rPr>
        <w:t>expérimentales</w:t>
      </w:r>
      <w:r w:rsidRPr="00D12A24">
        <w:rPr>
          <w:sz w:val="28"/>
          <w:szCs w:val="28"/>
        </w:rPr>
        <w:t xml:space="preserve"> – Cycle 3</w:t>
      </w:r>
    </w:p>
    <w:p w14:paraId="7CE05ECE" w14:textId="3160404A" w:rsidR="00AB38AA" w:rsidRPr="00D12A24" w:rsidRDefault="00D12A24" w:rsidP="00D12A24">
      <w:pPr>
        <w:spacing w:after="0" w:line="240" w:lineRule="auto"/>
        <w:jc w:val="center"/>
        <w:rPr>
          <w:rFonts w:cs="Times New Roman (Corps CS)"/>
          <w:b/>
          <w:bCs/>
          <w:smallCaps/>
          <w:sz w:val="36"/>
          <w:szCs w:val="32"/>
        </w:rPr>
      </w:pPr>
      <w:r w:rsidRPr="00D12A24">
        <w:rPr>
          <w:rFonts w:cs="Times New Roman (Corps CS)"/>
          <w:b/>
          <w:bCs/>
          <w:smallCaps/>
          <w:sz w:val="36"/>
          <w:szCs w:val="32"/>
        </w:rPr>
        <w:t>Référentiel de compétences</w:t>
      </w:r>
    </w:p>
    <w:p w14:paraId="548F17EB" w14:textId="6C548326" w:rsidR="00D12A24" w:rsidRPr="00D12A24" w:rsidRDefault="00D12A24" w:rsidP="00D12A24">
      <w:pPr>
        <w:spacing w:after="0" w:line="240" w:lineRule="auto"/>
        <w:jc w:val="center"/>
        <w:rPr>
          <w:b/>
          <w:bCs/>
          <w:sz w:val="28"/>
          <w:szCs w:val="28"/>
        </w:rPr>
      </w:pPr>
      <w:r w:rsidRPr="00D12A24">
        <w:rPr>
          <w:b/>
          <w:bCs/>
          <w:sz w:val="28"/>
          <w:szCs w:val="28"/>
        </w:rPr>
        <w:t>Grille d’auto-évaluation et d’évaluation</w:t>
      </w:r>
    </w:p>
    <w:p w14:paraId="0EB3D237" w14:textId="6ADF522A" w:rsidR="00D12A24" w:rsidRDefault="00D12A24" w:rsidP="00AF45BE">
      <w:pPr>
        <w:spacing w:after="0" w:line="240" w:lineRule="auto"/>
      </w:pPr>
    </w:p>
    <w:p w14:paraId="5AFC4958" w14:textId="77777777" w:rsidR="001C045A" w:rsidRDefault="001C045A" w:rsidP="00AF45BE">
      <w:pPr>
        <w:spacing w:after="0" w:line="240" w:lineRule="auto"/>
      </w:pPr>
    </w:p>
    <w:p w14:paraId="591A7A0B" w14:textId="108D82ED" w:rsidR="00D12A24" w:rsidRDefault="00D12A24" w:rsidP="00D12A24">
      <w:pPr>
        <w:spacing w:after="0" w:line="240" w:lineRule="auto"/>
        <w:jc w:val="both"/>
      </w:pPr>
      <w:r>
        <w:t>La grille qui suit recense les trois compétences-clés, associées à leurs diverses composantes, qui président à la structure des programmes haïtiens en sciences expérimentales pour le cycle 3.</w:t>
      </w:r>
    </w:p>
    <w:p w14:paraId="1FE47326" w14:textId="7E75AF50" w:rsidR="00D12A24" w:rsidRDefault="00D12A24" w:rsidP="00D12A24">
      <w:pPr>
        <w:spacing w:after="0" w:line="240" w:lineRule="auto"/>
        <w:jc w:val="both"/>
      </w:pPr>
    </w:p>
    <w:p w14:paraId="03D389FA" w14:textId="3E8CC048" w:rsidR="00D12A24" w:rsidRDefault="00D12A24" w:rsidP="00D12A24">
      <w:pPr>
        <w:spacing w:after="0" w:line="240" w:lineRule="auto"/>
        <w:jc w:val="both"/>
      </w:pPr>
      <w:r>
        <w:t>Elle peut être utilisée pour l’évaluation formative des élèves au cours de l’année, en auto-évaluation ou remplie par l’enseignant. Elle peut également être utilisée pour l’évaluation terminale de fin de cycle.</w:t>
      </w:r>
    </w:p>
    <w:p w14:paraId="065448D9" w14:textId="6A7B5AD6" w:rsidR="00D12A24" w:rsidRDefault="00D12A24" w:rsidP="00D12A24">
      <w:pPr>
        <w:spacing w:after="0" w:line="240" w:lineRule="auto"/>
        <w:jc w:val="both"/>
      </w:pPr>
    </w:p>
    <w:p w14:paraId="1958B1D1" w14:textId="50E135F1" w:rsidR="00D12A24" w:rsidRDefault="00D12A24" w:rsidP="00D12A24">
      <w:pPr>
        <w:spacing w:after="0" w:line="240" w:lineRule="auto"/>
        <w:jc w:val="both"/>
      </w:pPr>
      <w:r>
        <w:t>Pour remplir la grille, indiquer simplement le niveau de développement de chaque composante atteint par l’élève</w:t>
      </w:r>
      <w:r w:rsidR="001D2901">
        <w:t xml:space="preserve"> (acquisition, application ou autonomie). Idéalement, on conservera une trace de chacune des évaluations réalisées à l’aide de cette grille, de manière à mettre en évidence la progression de l’élève.</w:t>
      </w:r>
    </w:p>
    <w:p w14:paraId="7E2A3C3E" w14:textId="77777777" w:rsidR="001C045A" w:rsidRPr="00D12A24" w:rsidRDefault="001C045A" w:rsidP="00AF45BE">
      <w:pPr>
        <w:spacing w:after="0" w:line="240" w:lineRule="auto"/>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2019"/>
        <w:gridCol w:w="840"/>
        <w:gridCol w:w="840"/>
        <w:gridCol w:w="837"/>
      </w:tblGrid>
      <w:tr w:rsidR="00D12A24" w:rsidRPr="00CC6F3C" w14:paraId="7843DF8B" w14:textId="77777777" w:rsidTr="001D2901">
        <w:trPr>
          <w:cantSplit/>
          <w:trHeight w:val="1196"/>
        </w:trPr>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hideMark/>
          </w:tcPr>
          <w:p w14:paraId="143520F8" w14:textId="77777777" w:rsidR="001C045A" w:rsidRPr="00E06781" w:rsidRDefault="001C045A" w:rsidP="00113B0B">
            <w:pPr>
              <w:widowControl w:val="0"/>
              <w:adjustRightInd w:val="0"/>
              <w:snapToGrid w:val="0"/>
              <w:spacing w:after="0" w:line="240" w:lineRule="auto"/>
              <w:rPr>
                <w:rFonts w:cs="Times New Roman (Corps CS)"/>
                <w:smallCaps/>
              </w:rPr>
            </w:pPr>
          </w:p>
          <w:p w14:paraId="125EBC36" w14:textId="7307FB00" w:rsidR="001C045A" w:rsidRPr="00E06781" w:rsidRDefault="001C045A" w:rsidP="00113B0B">
            <w:pPr>
              <w:widowControl w:val="0"/>
              <w:adjustRightInd w:val="0"/>
              <w:snapToGrid w:val="0"/>
              <w:spacing w:after="0" w:line="240" w:lineRule="auto"/>
              <w:rPr>
                <w:rFonts w:cs="Times New Roman (Corps CS)"/>
                <w:smallCaps/>
              </w:rPr>
            </w:pPr>
            <w:r w:rsidRPr="00E06781">
              <w:rPr>
                <w:rFonts w:cs="Times New Roman (Corps CS)"/>
                <w:smallCaps/>
              </w:rPr>
              <w:t>Nom de l’élève : ____________________________________________</w:t>
            </w:r>
          </w:p>
          <w:p w14:paraId="2BDC03A3" w14:textId="77777777" w:rsidR="001C045A" w:rsidRPr="00E06781" w:rsidRDefault="001C045A" w:rsidP="00113B0B">
            <w:pPr>
              <w:widowControl w:val="0"/>
              <w:adjustRightInd w:val="0"/>
              <w:snapToGrid w:val="0"/>
              <w:spacing w:after="0" w:line="240" w:lineRule="auto"/>
              <w:rPr>
                <w:rFonts w:cs="Times New Roman (Corps CS)"/>
                <w:smallCaps/>
              </w:rPr>
            </w:pPr>
          </w:p>
          <w:p w14:paraId="6EA1BC34" w14:textId="57672AA6" w:rsidR="001D2901" w:rsidRPr="00E06781" w:rsidRDefault="001D2901" w:rsidP="00113B0B">
            <w:pPr>
              <w:widowControl w:val="0"/>
              <w:adjustRightInd w:val="0"/>
              <w:snapToGrid w:val="0"/>
              <w:spacing w:after="0" w:line="240" w:lineRule="auto"/>
              <w:rPr>
                <w:rFonts w:cs="Times New Roman (Corps CS)"/>
                <w:smallCaps/>
              </w:rPr>
            </w:pPr>
            <w:r w:rsidRPr="00E06781">
              <w:rPr>
                <w:rFonts w:cs="Times New Roman (Corps CS)"/>
                <w:smallCaps/>
              </w:rPr>
              <w:t>Date de l’évaluation ou de l’auto-évaluation : _____________________</w:t>
            </w:r>
          </w:p>
          <w:p w14:paraId="0DDCA440" w14:textId="77777777" w:rsidR="001D2901" w:rsidRPr="00E06781" w:rsidRDefault="001D2901" w:rsidP="00113B0B">
            <w:pPr>
              <w:widowControl w:val="0"/>
              <w:adjustRightInd w:val="0"/>
              <w:snapToGrid w:val="0"/>
              <w:spacing w:after="0" w:line="240" w:lineRule="auto"/>
              <w:rPr>
                <w:rFonts w:cs="Times New Roman (Corps CS)"/>
                <w:smallCaps/>
              </w:rPr>
            </w:pPr>
          </w:p>
          <w:p w14:paraId="4D274721" w14:textId="4DBE0542" w:rsidR="00D12A24" w:rsidRPr="00D12A24" w:rsidRDefault="00D12A24" w:rsidP="00113B0B">
            <w:pPr>
              <w:widowControl w:val="0"/>
              <w:adjustRightInd w:val="0"/>
              <w:snapToGrid w:val="0"/>
              <w:spacing w:after="0" w:line="240" w:lineRule="auto"/>
              <w:rPr>
                <w:rFonts w:cs="Times New Roman (Corps CS)"/>
                <w:b/>
                <w:bCs/>
                <w:smallCaps/>
              </w:rPr>
            </w:pPr>
            <w:r w:rsidRPr="00D12A24">
              <w:rPr>
                <w:rFonts w:cs="Times New Roman (Corps CS)"/>
                <w:b/>
                <w:bCs/>
                <w:smallCaps/>
                <w:sz w:val="24"/>
                <w:szCs w:val="24"/>
              </w:rPr>
              <w:t xml:space="preserve">Compétences à </w:t>
            </w:r>
            <w:r>
              <w:rPr>
                <w:rFonts w:cs="Times New Roman (Corps CS)"/>
                <w:b/>
                <w:bCs/>
                <w:smallCaps/>
                <w:sz w:val="24"/>
                <w:szCs w:val="24"/>
              </w:rPr>
              <w:t>(auto-)</w:t>
            </w:r>
            <w:r w:rsidRPr="00D12A24">
              <w:rPr>
                <w:rFonts w:cs="Times New Roman (Corps CS)"/>
                <w:b/>
                <w:bCs/>
                <w:smallCaps/>
                <w:sz w:val="24"/>
                <w:szCs w:val="24"/>
              </w:rPr>
              <w:t>évaluer</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textDirection w:val="btLr"/>
            <w:vAlign w:val="center"/>
            <w:hideMark/>
          </w:tcPr>
          <w:p w14:paraId="76E09194" w14:textId="482C3CC2" w:rsidR="00D12A24" w:rsidRPr="00E06781" w:rsidRDefault="00D12A24" w:rsidP="00113B0B">
            <w:pPr>
              <w:widowControl w:val="0"/>
              <w:adjustRightInd w:val="0"/>
              <w:snapToGrid w:val="0"/>
              <w:spacing w:after="0" w:line="240" w:lineRule="auto"/>
              <w:ind w:left="113" w:right="113"/>
              <w:jc w:val="center"/>
              <w:rPr>
                <w:b/>
                <w:bCs/>
                <w:i/>
                <w:iCs/>
                <w:highlight w:val="yellow"/>
              </w:rPr>
            </w:pPr>
            <w:r w:rsidRPr="00E06781">
              <w:rPr>
                <w:i/>
                <w:iCs/>
              </w:rPr>
              <w:t>Acquisition</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vAlign w:val="center"/>
          </w:tcPr>
          <w:p w14:paraId="203DDDBE" w14:textId="6423C4E7" w:rsidR="00D12A24" w:rsidRPr="00E06781" w:rsidRDefault="00D12A24" w:rsidP="00113B0B">
            <w:pPr>
              <w:widowControl w:val="0"/>
              <w:adjustRightInd w:val="0"/>
              <w:snapToGrid w:val="0"/>
              <w:spacing w:after="0" w:line="240" w:lineRule="auto"/>
              <w:ind w:left="113" w:right="113"/>
              <w:jc w:val="center"/>
              <w:rPr>
                <w:b/>
                <w:bCs/>
                <w:i/>
                <w:iCs/>
                <w:highlight w:val="yellow"/>
              </w:rPr>
            </w:pPr>
            <w:r w:rsidRPr="00E06781">
              <w:rPr>
                <w:i/>
                <w:iCs/>
              </w:rPr>
              <w:t>Application</w:t>
            </w: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textDirection w:val="btLr"/>
            <w:vAlign w:val="center"/>
          </w:tcPr>
          <w:p w14:paraId="007088FC" w14:textId="4B45B75F" w:rsidR="00D12A24" w:rsidRPr="00E06781" w:rsidRDefault="00D12A24" w:rsidP="00113B0B">
            <w:pPr>
              <w:widowControl w:val="0"/>
              <w:adjustRightInd w:val="0"/>
              <w:snapToGrid w:val="0"/>
              <w:spacing w:after="0" w:line="240" w:lineRule="auto"/>
              <w:ind w:left="113" w:right="113"/>
              <w:jc w:val="center"/>
              <w:rPr>
                <w:b/>
                <w:bCs/>
                <w:i/>
                <w:iCs/>
                <w:highlight w:val="yellow"/>
              </w:rPr>
            </w:pPr>
            <w:r w:rsidRPr="00E06781">
              <w:rPr>
                <w:i/>
                <w:iCs/>
              </w:rPr>
              <w:t>Autonomie</w:t>
            </w:r>
          </w:p>
        </w:tc>
      </w:tr>
      <w:tr w:rsidR="001D2901" w:rsidRPr="004572FF" w14:paraId="68830417" w14:textId="77777777" w:rsidTr="001D2901">
        <w:trPr>
          <w:trHeight w:val="602"/>
        </w:trPr>
        <w:tc>
          <w:tcPr>
            <w:tcW w:w="5000" w:type="pct"/>
            <w:gridSpan w:val="4"/>
            <w:tcBorders>
              <w:top w:val="single" w:sz="6" w:space="0" w:color="000000" w:themeColor="text1"/>
              <w:left w:val="single" w:sz="6" w:space="0" w:color="000000" w:themeColor="text1"/>
              <w:bottom w:val="single" w:sz="4" w:space="0" w:color="auto"/>
              <w:right w:val="single" w:sz="6" w:space="0" w:color="000000" w:themeColor="text1"/>
            </w:tcBorders>
            <w:tcMar>
              <w:top w:w="0" w:type="dxa"/>
              <w:left w:w="48" w:type="dxa"/>
              <w:bottom w:w="0" w:type="dxa"/>
              <w:right w:w="48" w:type="dxa"/>
            </w:tcMar>
            <w:vAlign w:val="center"/>
          </w:tcPr>
          <w:p w14:paraId="662D076E" w14:textId="6D6353D2" w:rsidR="001D2901" w:rsidRPr="006B1E28" w:rsidRDefault="001D2901" w:rsidP="001D2901">
            <w:pPr>
              <w:widowControl w:val="0"/>
              <w:adjustRightInd w:val="0"/>
              <w:snapToGrid w:val="0"/>
              <w:spacing w:after="0" w:line="240" w:lineRule="auto"/>
            </w:pPr>
            <w:r w:rsidRPr="0005354D">
              <w:rPr>
                <w:rFonts w:cstheme="minorHAnsi"/>
                <w:b/>
                <w:bCs/>
                <w:i/>
                <w:iCs/>
                <w:color w:val="000000" w:themeColor="text1"/>
                <w:lang w:val="fr"/>
              </w:rPr>
              <w:t>Compétence 1 :</w:t>
            </w:r>
            <w:r w:rsidRPr="0005354D">
              <w:rPr>
                <w:rFonts w:cstheme="minorHAnsi"/>
                <w:b/>
                <w:bCs/>
                <w:i/>
                <w:iCs/>
                <w:color w:val="000000" w:themeColor="text1"/>
              </w:rPr>
              <w:tab/>
            </w:r>
            <w:r w:rsidRPr="0005354D">
              <w:rPr>
                <w:rFonts w:cstheme="minorHAnsi"/>
                <w:b/>
                <w:bCs/>
                <w:i/>
                <w:iCs/>
                <w:color w:val="000000" w:themeColor="text1"/>
                <w:lang w:val="fr"/>
              </w:rPr>
              <w:t>Explorer les phénomènes naturels et les objets techniques à l’aide d’outils et de démarches caractéristiques des sciences expérimentales</w:t>
            </w:r>
          </w:p>
        </w:tc>
      </w:tr>
      <w:tr w:rsidR="00D12A24" w:rsidRPr="00D12A24" w14:paraId="50F01504"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0540CD3C"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 xml:space="preserve">Composante 1a </w:t>
            </w:r>
          </w:p>
          <w:p w14:paraId="220E3956"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rFonts w:cstheme="minorHAnsi"/>
                <w:bCs/>
                <w:color w:val="000000" w:themeColor="text1"/>
                <w:sz w:val="21"/>
                <w:szCs w:val="21"/>
              </w:rPr>
            </w:pPr>
            <w:r w:rsidRPr="00D12A24">
              <w:rPr>
                <w:rFonts w:cstheme="minorHAnsi"/>
                <w:bCs/>
                <w:color w:val="000000" w:themeColor="text1"/>
                <w:sz w:val="21"/>
                <w:szCs w:val="21"/>
              </w:rPr>
              <w:t>Distinguer les éléments du monde naturel des objets manufacturés, en vue de reconnaître, décrire et analyser leur complexité et leurs interdépendances.</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16BA571C"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AC8FDD"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17B7B9"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3173F5C8"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25630801"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 xml:space="preserve">Composante 1b </w:t>
            </w:r>
          </w:p>
          <w:p w14:paraId="6336E820"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rFonts w:cstheme="minorHAnsi"/>
                <w:bCs/>
                <w:color w:val="000000" w:themeColor="text1"/>
                <w:sz w:val="21"/>
                <w:szCs w:val="21"/>
              </w:rPr>
            </w:pPr>
            <w:r w:rsidRPr="00D12A24">
              <w:rPr>
                <w:rFonts w:cstheme="minorHAnsi"/>
                <w:bCs/>
                <w:color w:val="000000" w:themeColor="text1"/>
                <w:sz w:val="21"/>
                <w:szCs w:val="21"/>
              </w:rPr>
              <w:t>Observer, mesurer, décrire et expliciter le fonctionnement de phénomènes naturels et d’objets techniques à l’aide d’un vocabulaire scientifique et technique et par l’usage d’instruments d’observation et de mesure.</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4C7404B1"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E4D7D0"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381469"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210B10F9" w14:textId="77777777" w:rsidTr="001D2901">
        <w:tc>
          <w:tcPr>
            <w:tcW w:w="4134" w:type="pc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48" w:type="dxa"/>
              <w:bottom w:w="0" w:type="dxa"/>
              <w:right w:w="48" w:type="dxa"/>
            </w:tcMar>
            <w:vAlign w:val="center"/>
          </w:tcPr>
          <w:p w14:paraId="48A8DA63"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 xml:space="preserve">Composante 1c </w:t>
            </w:r>
          </w:p>
          <w:p w14:paraId="10CEF4EA"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sz w:val="21"/>
                <w:szCs w:val="21"/>
              </w:rPr>
            </w:pPr>
            <w:r w:rsidRPr="00D12A24">
              <w:rPr>
                <w:rFonts w:cstheme="minorHAnsi"/>
                <w:bCs/>
                <w:color w:val="000000" w:themeColor="text1"/>
                <w:sz w:val="21"/>
                <w:szCs w:val="21"/>
              </w:rPr>
              <w:t>Mettre en œuvre une démarche expérimentale par la formulation d’hypothèses, la définition et la mise en œuvre de stratégies d’exploration simples, le choix d’instruments d’observation et de mesure adaptés, la réalisation d’expériences, la formalisation des résultats obtenus et leur confrontation aux hypothèses émises.</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6E966C87"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CE67BD"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6E7854"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709084C8" w14:textId="77777777" w:rsidTr="001D2901">
        <w:tc>
          <w:tcPr>
            <w:tcW w:w="4134" w:type="pct"/>
            <w:tcBorders>
              <w:top w:val="single" w:sz="4" w:space="0" w:color="auto"/>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4096EDDC"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Composante 1d </w:t>
            </w:r>
          </w:p>
          <w:p w14:paraId="792FDCBF"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rFonts w:cstheme="minorHAnsi"/>
                <w:bCs/>
                <w:color w:val="000000" w:themeColor="text1"/>
                <w:sz w:val="21"/>
                <w:szCs w:val="21"/>
              </w:rPr>
            </w:pPr>
            <w:r w:rsidRPr="00D12A24">
              <w:rPr>
                <w:rFonts w:cstheme="minorHAnsi"/>
                <w:bCs/>
                <w:color w:val="000000" w:themeColor="text1"/>
                <w:sz w:val="21"/>
                <w:szCs w:val="21"/>
              </w:rPr>
              <w:t>Mettre en forme et communiquer ses conceptions, hypothèses, observations, résultats, interprétations et déductions ; les confronter à celles de ses pairs, aux informations issues de médias variés et aux prévisions des modèles théoriques des sciences expérimentales</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3C3484B2"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D37D80"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82735C" w14:textId="77777777" w:rsidR="00D12A24" w:rsidRPr="00D12A24" w:rsidRDefault="00D12A24" w:rsidP="00D12A24">
            <w:pPr>
              <w:widowControl w:val="0"/>
              <w:adjustRightInd w:val="0"/>
              <w:snapToGrid w:val="0"/>
              <w:spacing w:after="0" w:line="240" w:lineRule="auto"/>
              <w:jc w:val="center"/>
              <w:rPr>
                <w:sz w:val="21"/>
                <w:szCs w:val="21"/>
              </w:rPr>
            </w:pPr>
          </w:p>
        </w:tc>
      </w:tr>
    </w:tbl>
    <w:p w14:paraId="436721CE" w14:textId="77777777" w:rsidR="00D12A24" w:rsidRPr="001D2901" w:rsidRDefault="001D2901" w:rsidP="00113B0B">
      <w:pPr>
        <w:widowControl w:val="0"/>
        <w:adjustRightInd w:val="0"/>
        <w:snapToGrid w:val="0"/>
        <w:spacing w:after="0" w:line="240" w:lineRule="auto"/>
        <w:rPr>
          <w:sz w:val="2"/>
          <w:szCs w:val="2"/>
        </w:rPr>
      </w:pPr>
      <w:r>
        <w:br w:type="column"/>
      </w: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2019"/>
        <w:gridCol w:w="840"/>
        <w:gridCol w:w="840"/>
        <w:gridCol w:w="837"/>
      </w:tblGrid>
      <w:tr w:rsidR="001D2901" w:rsidRPr="004572FF" w14:paraId="24C38EC4" w14:textId="77777777" w:rsidTr="001D2901">
        <w:tc>
          <w:tcPr>
            <w:tcW w:w="5000"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6A06DFC6" w14:textId="68B9C209" w:rsidR="001D2901" w:rsidRPr="006B1E28" w:rsidRDefault="001D2901" w:rsidP="001D2901">
            <w:pPr>
              <w:widowControl w:val="0"/>
              <w:adjustRightInd w:val="0"/>
              <w:snapToGrid w:val="0"/>
              <w:spacing w:after="0" w:line="240" w:lineRule="auto"/>
            </w:pPr>
            <w:r w:rsidRPr="00E4021D">
              <w:rPr>
                <w:rFonts w:cstheme="minorHAnsi"/>
                <w:b/>
                <w:bCs/>
                <w:i/>
                <w:iCs/>
                <w:color w:val="000000" w:themeColor="text1"/>
                <w:lang w:val="fr"/>
              </w:rPr>
              <w:t>Compétence 2 :</w:t>
            </w:r>
            <w:r>
              <w:rPr>
                <w:rFonts w:cstheme="minorHAnsi"/>
                <w:b/>
                <w:bCs/>
                <w:i/>
                <w:iCs/>
                <w:color w:val="000000" w:themeColor="text1"/>
                <w:lang w:val="fr"/>
              </w:rPr>
              <w:t xml:space="preserve"> </w:t>
            </w:r>
            <w:r w:rsidRPr="00E4021D">
              <w:rPr>
                <w:rFonts w:cstheme="minorHAnsi"/>
                <w:b/>
                <w:bCs/>
                <w:i/>
                <w:iCs/>
                <w:color w:val="000000" w:themeColor="text1"/>
                <w:lang w:val="fr"/>
              </w:rPr>
              <w:t>Appréhender les phénomènes naturels et le comportement des objets techniques par le biais des représentations, de la modélisation et du langage mathématique</w:t>
            </w:r>
          </w:p>
        </w:tc>
      </w:tr>
      <w:tr w:rsidR="00D12A24" w:rsidRPr="00D12A24" w14:paraId="262CD00C"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7D48B4E4"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Composante 2a</w:t>
            </w:r>
          </w:p>
          <w:p w14:paraId="695077CD"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rFonts w:eastAsia="Arial" w:cstheme="minorHAnsi"/>
                <w:color w:val="000000" w:themeColor="text1"/>
                <w:sz w:val="21"/>
                <w:szCs w:val="21"/>
                <w:lang w:val="fr"/>
              </w:rPr>
            </w:pPr>
            <w:r w:rsidRPr="00D12A24">
              <w:rPr>
                <w:rFonts w:cstheme="minorHAnsi"/>
                <w:bCs/>
                <w:color w:val="000000" w:themeColor="text1"/>
                <w:sz w:val="21"/>
                <w:szCs w:val="21"/>
              </w:rPr>
              <w:t>Lire, interpréter, exploiter et produire des plans, schémas, diagrammes, courbes et tableaux de données se référant à des phénomènes naturels ou des objets techniques</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4F10DFBE"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6467EB"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F391CB"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56E091B0"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203611C9"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Composante 2b</w:t>
            </w:r>
          </w:p>
          <w:p w14:paraId="5555130D"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rFonts w:eastAsia="Arial" w:cstheme="minorHAnsi"/>
                <w:color w:val="000000" w:themeColor="text1"/>
                <w:sz w:val="21"/>
                <w:szCs w:val="21"/>
                <w:lang w:val="fr"/>
              </w:rPr>
            </w:pPr>
            <w:r w:rsidRPr="00D12A24">
              <w:rPr>
                <w:rFonts w:cstheme="minorHAnsi"/>
                <w:bCs/>
                <w:color w:val="000000" w:themeColor="text1"/>
                <w:sz w:val="21"/>
                <w:szCs w:val="21"/>
              </w:rPr>
              <w:t>Faire à la fois la différence et le lien entre un modèle scientifique basé sur l’idéalisation du comportement d’un objet naturel ou artificiel, que ce modèle soit formalisé mathématiquement ou non, et les observations effectuées dans le cadre d’une démarche expérimentale</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3BC8BB0E"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CE00E"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EC3601"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21DD366E"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0041F82A"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ind w:left="394"/>
              <w:contextualSpacing w:val="0"/>
              <w:rPr>
                <w:rFonts w:cstheme="minorHAnsi"/>
                <w:bCs/>
                <w:i/>
                <w:iCs/>
                <w:color w:val="000000" w:themeColor="text1"/>
                <w:sz w:val="21"/>
                <w:szCs w:val="21"/>
              </w:rPr>
            </w:pPr>
            <w:r w:rsidRPr="00D12A24">
              <w:rPr>
                <w:rFonts w:cstheme="minorHAnsi"/>
                <w:bCs/>
                <w:i/>
                <w:iCs/>
                <w:color w:val="000000" w:themeColor="text1"/>
                <w:sz w:val="21"/>
                <w:szCs w:val="21"/>
              </w:rPr>
              <w:t>Composante 2c</w:t>
            </w:r>
          </w:p>
          <w:p w14:paraId="7DDA13F5" w14:textId="77777777" w:rsidR="00D12A24" w:rsidRPr="00D12A24" w:rsidRDefault="00D12A24" w:rsidP="00113B0B">
            <w:pPr>
              <w:pStyle w:val="Paragraphedeliste"/>
              <w:widowControl w:val="0"/>
              <w:autoSpaceDE w:val="0"/>
              <w:adjustRightInd w:val="0"/>
              <w:snapToGrid w:val="0"/>
              <w:spacing w:after="0" w:line="240" w:lineRule="auto"/>
              <w:ind w:left="394"/>
              <w:contextualSpacing w:val="0"/>
              <w:rPr>
                <w:rFonts w:eastAsia="Arial" w:cstheme="minorHAnsi"/>
                <w:color w:val="000000" w:themeColor="text1"/>
                <w:sz w:val="21"/>
                <w:szCs w:val="21"/>
                <w:lang w:val="fr"/>
              </w:rPr>
            </w:pPr>
            <w:r w:rsidRPr="00D12A24">
              <w:rPr>
                <w:rFonts w:cstheme="minorHAnsi"/>
                <w:bCs/>
                <w:color w:val="000000" w:themeColor="text1"/>
                <w:sz w:val="21"/>
                <w:szCs w:val="21"/>
              </w:rPr>
              <w:t>Utiliser un modèle formalisé issu des sciences expérimentales et effectuer des calculs simples pour expliciter et/ou prévoir un phénomène naturel ou le fonctionnement/comportement d'un objet technique</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323CA0C2"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EFF2FD"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49BCCF" w14:textId="77777777" w:rsidR="00D12A24" w:rsidRPr="00D12A24" w:rsidRDefault="00D12A24" w:rsidP="00D12A24">
            <w:pPr>
              <w:widowControl w:val="0"/>
              <w:adjustRightInd w:val="0"/>
              <w:snapToGrid w:val="0"/>
              <w:spacing w:after="0" w:line="240" w:lineRule="auto"/>
              <w:jc w:val="center"/>
              <w:rPr>
                <w:sz w:val="21"/>
                <w:szCs w:val="21"/>
              </w:rPr>
            </w:pPr>
          </w:p>
        </w:tc>
      </w:tr>
    </w:tbl>
    <w:p w14:paraId="46D64522" w14:textId="24838CF9" w:rsidR="00D12A24" w:rsidRDefault="00D12A24" w:rsidP="00113B0B">
      <w:pPr>
        <w:widowControl w:val="0"/>
        <w:adjustRightInd w:val="0"/>
        <w:snapToGrid w:val="0"/>
        <w:spacing w:after="0" w:line="240" w:lineRule="auto"/>
      </w:pPr>
    </w:p>
    <w:p w14:paraId="65C3E613" w14:textId="77777777" w:rsidR="001D2901" w:rsidRPr="006B1E28" w:rsidRDefault="001D2901" w:rsidP="00113B0B">
      <w:pPr>
        <w:widowControl w:val="0"/>
        <w:adjustRightInd w:val="0"/>
        <w:snapToGrid w:val="0"/>
        <w:spacing w:after="0" w:line="240" w:lineRule="auto"/>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2019"/>
        <w:gridCol w:w="840"/>
        <w:gridCol w:w="840"/>
        <w:gridCol w:w="837"/>
      </w:tblGrid>
      <w:tr w:rsidR="001D2901" w:rsidRPr="004572FF" w14:paraId="2FAC819E" w14:textId="77777777" w:rsidTr="001D2901">
        <w:tc>
          <w:tcPr>
            <w:tcW w:w="5000"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7D86991A" w14:textId="14BD6A29" w:rsidR="001D2901" w:rsidRPr="006B1E28" w:rsidRDefault="001D2901" w:rsidP="001D2901">
            <w:pPr>
              <w:widowControl w:val="0"/>
              <w:adjustRightInd w:val="0"/>
              <w:snapToGrid w:val="0"/>
              <w:spacing w:after="0" w:line="240" w:lineRule="auto"/>
            </w:pPr>
            <w:r w:rsidRPr="0005354D">
              <w:rPr>
                <w:rFonts w:cstheme="minorHAnsi"/>
                <w:b/>
                <w:bCs/>
                <w:i/>
                <w:iCs/>
                <w:color w:val="000000" w:themeColor="text1"/>
                <w:lang w:val="fr"/>
              </w:rPr>
              <w:t>Compétence 3 :</w:t>
            </w:r>
            <w:r w:rsidRPr="0005354D">
              <w:rPr>
                <w:rFonts w:cstheme="minorHAnsi"/>
                <w:b/>
                <w:bCs/>
                <w:i/>
                <w:iCs/>
                <w:color w:val="000000" w:themeColor="text1"/>
              </w:rPr>
              <w:tab/>
            </w:r>
            <w:r w:rsidRPr="0005354D">
              <w:rPr>
                <w:rFonts w:cstheme="minorHAnsi"/>
                <w:b/>
                <w:bCs/>
                <w:i/>
                <w:iCs/>
                <w:color w:val="000000" w:themeColor="text1"/>
                <w:lang w:val="fr"/>
              </w:rPr>
              <w:t xml:space="preserve">Se situer et agir en </w:t>
            </w:r>
            <w:proofErr w:type="spellStart"/>
            <w:r w:rsidRPr="0005354D">
              <w:rPr>
                <w:rFonts w:cstheme="minorHAnsi"/>
                <w:b/>
                <w:bCs/>
                <w:i/>
                <w:iCs/>
                <w:color w:val="000000" w:themeColor="text1"/>
                <w:lang w:val="fr"/>
              </w:rPr>
              <w:t>citoyen·ne</w:t>
            </w:r>
            <w:proofErr w:type="spellEnd"/>
            <w:r w:rsidRPr="0005354D">
              <w:rPr>
                <w:rFonts w:cstheme="minorHAnsi"/>
                <w:b/>
                <w:bCs/>
                <w:i/>
                <w:iCs/>
                <w:color w:val="000000" w:themeColor="text1"/>
                <w:lang w:val="fr"/>
              </w:rPr>
              <w:t xml:space="preserve"> responsable, dans un souci d’enrichissement, de préservation et de protection de la vi</w:t>
            </w:r>
            <w:r>
              <w:rPr>
                <w:rFonts w:cstheme="minorHAnsi"/>
                <w:b/>
                <w:bCs/>
                <w:i/>
                <w:iCs/>
                <w:color w:val="000000" w:themeColor="text1"/>
                <w:lang w:val="fr"/>
              </w:rPr>
              <w:t>e sociale et de l’environnement</w:t>
            </w:r>
          </w:p>
        </w:tc>
      </w:tr>
      <w:tr w:rsidR="00D12A24" w:rsidRPr="00D12A24" w14:paraId="2E19B0D3"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07F557F4"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contextualSpacing w:val="0"/>
              <w:rPr>
                <w:rFonts w:cstheme="minorHAnsi"/>
                <w:bCs/>
                <w:i/>
                <w:iCs/>
                <w:color w:val="000000" w:themeColor="text1"/>
                <w:sz w:val="21"/>
                <w:szCs w:val="21"/>
              </w:rPr>
            </w:pPr>
            <w:r w:rsidRPr="00D12A24">
              <w:rPr>
                <w:rFonts w:cstheme="minorHAnsi"/>
                <w:bCs/>
                <w:i/>
                <w:iCs/>
                <w:color w:val="000000" w:themeColor="text1"/>
                <w:sz w:val="21"/>
                <w:szCs w:val="21"/>
              </w:rPr>
              <w:t xml:space="preserve">Composante 3a </w:t>
            </w:r>
          </w:p>
          <w:p w14:paraId="6A3BDF0A" w14:textId="77777777" w:rsidR="00D12A24" w:rsidRPr="00D12A24" w:rsidRDefault="00D12A24" w:rsidP="00113B0B">
            <w:pPr>
              <w:pStyle w:val="Paragraphedeliste"/>
              <w:widowControl w:val="0"/>
              <w:autoSpaceDE w:val="0"/>
              <w:adjustRightInd w:val="0"/>
              <w:snapToGrid w:val="0"/>
              <w:spacing w:after="0" w:line="240" w:lineRule="auto"/>
              <w:contextualSpacing w:val="0"/>
              <w:rPr>
                <w:rFonts w:cstheme="minorHAnsi"/>
                <w:bCs/>
                <w:color w:val="000000" w:themeColor="text1"/>
                <w:sz w:val="21"/>
                <w:szCs w:val="21"/>
              </w:rPr>
            </w:pPr>
            <w:r w:rsidRPr="00D12A24">
              <w:rPr>
                <w:rFonts w:cstheme="minorHAnsi"/>
                <w:bCs/>
                <w:color w:val="000000" w:themeColor="text1"/>
                <w:sz w:val="21"/>
                <w:szCs w:val="21"/>
              </w:rPr>
              <w:t>Exercer un regard curieux et adopter une attitude exploratoire face au monde qui l’entoure</w:t>
            </w:r>
            <w:r w:rsidRPr="00D12A24" w:rsidDel="008D6F6E">
              <w:rPr>
                <w:rFonts w:cstheme="minorHAnsi"/>
                <w:bCs/>
                <w:color w:val="000000" w:themeColor="text1"/>
                <w:sz w:val="21"/>
                <w:szCs w:val="21"/>
              </w:rPr>
              <w:t xml:space="preserve"> </w:t>
            </w:r>
            <w:r w:rsidRPr="00D12A24">
              <w:rPr>
                <w:rFonts w:cstheme="minorHAnsi"/>
                <w:bCs/>
                <w:color w:val="000000" w:themeColor="text1"/>
                <w:sz w:val="21"/>
                <w:szCs w:val="21"/>
              </w:rPr>
              <w:t>en faisant preuve d’une distance critique et d’une capacité d’analyse et d’interprétation des informations qui lui sont soumises.</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15E873B4"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AB778A"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15B6FB"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196474F3"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2AA14906"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contextualSpacing w:val="0"/>
              <w:rPr>
                <w:rFonts w:eastAsia="Arial" w:cstheme="minorHAnsi"/>
                <w:color w:val="000000" w:themeColor="text1"/>
                <w:sz w:val="21"/>
                <w:szCs w:val="21"/>
                <w:lang w:val="fr"/>
              </w:rPr>
            </w:pPr>
            <w:r w:rsidRPr="00D12A24">
              <w:rPr>
                <w:rFonts w:cstheme="minorHAnsi"/>
                <w:bCs/>
                <w:i/>
                <w:iCs/>
                <w:color w:val="000000" w:themeColor="text1"/>
                <w:sz w:val="21"/>
                <w:szCs w:val="21"/>
              </w:rPr>
              <w:t>Composante</w:t>
            </w:r>
            <w:r w:rsidRPr="00D12A24">
              <w:rPr>
                <w:rFonts w:eastAsia="Arial" w:cstheme="minorHAnsi"/>
                <w:i/>
                <w:iCs/>
                <w:color w:val="000000" w:themeColor="text1"/>
                <w:sz w:val="21"/>
                <w:szCs w:val="21"/>
                <w:lang w:val="fr"/>
              </w:rPr>
              <w:t xml:space="preserve"> 3b </w:t>
            </w:r>
          </w:p>
          <w:p w14:paraId="087B31C4" w14:textId="77777777" w:rsidR="00D12A24" w:rsidRPr="00D12A24" w:rsidRDefault="00D12A24" w:rsidP="00113B0B">
            <w:pPr>
              <w:pStyle w:val="Paragraphedeliste"/>
              <w:widowControl w:val="0"/>
              <w:autoSpaceDE w:val="0"/>
              <w:adjustRightInd w:val="0"/>
              <w:snapToGrid w:val="0"/>
              <w:spacing w:after="0" w:line="240" w:lineRule="auto"/>
              <w:rPr>
                <w:rFonts w:cstheme="minorHAnsi"/>
                <w:bCs/>
                <w:color w:val="000000" w:themeColor="text1"/>
                <w:sz w:val="21"/>
                <w:szCs w:val="21"/>
              </w:rPr>
            </w:pPr>
            <w:r w:rsidRPr="00D12A24">
              <w:rPr>
                <w:rFonts w:cstheme="minorHAnsi"/>
                <w:bCs/>
                <w:color w:val="000000" w:themeColor="text1"/>
                <w:sz w:val="21"/>
                <w:szCs w:val="21"/>
              </w:rPr>
              <w:t>Débattre de ses connaissances, valeurs et opinions en exerçant sa capacité de dialogue et de construction du désaccord, en vue de comprendre et de développer sa résilience et son pouvoir d’agir sur son environnement et dans la société.</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7930E3B9"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D20E6"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03F897"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7B686832"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3DE75BAE"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contextualSpacing w:val="0"/>
              <w:rPr>
                <w:rFonts w:eastAsia="Arial" w:cstheme="minorHAnsi"/>
                <w:color w:val="000000" w:themeColor="text1"/>
                <w:sz w:val="21"/>
                <w:szCs w:val="21"/>
                <w:lang w:val="fr"/>
              </w:rPr>
            </w:pPr>
            <w:r w:rsidRPr="00D12A24">
              <w:rPr>
                <w:rFonts w:cstheme="minorHAnsi"/>
                <w:bCs/>
                <w:i/>
                <w:iCs/>
                <w:color w:val="000000" w:themeColor="text1"/>
                <w:sz w:val="21"/>
                <w:szCs w:val="21"/>
              </w:rPr>
              <w:t>Composante</w:t>
            </w:r>
            <w:r w:rsidRPr="00D12A24">
              <w:rPr>
                <w:rFonts w:eastAsia="Arial" w:cstheme="minorHAnsi"/>
                <w:i/>
                <w:iCs/>
                <w:color w:val="000000" w:themeColor="text1"/>
                <w:sz w:val="21"/>
                <w:szCs w:val="21"/>
                <w:lang w:val="fr"/>
              </w:rPr>
              <w:t xml:space="preserve"> 3c</w:t>
            </w:r>
          </w:p>
          <w:p w14:paraId="6FB4EE09" w14:textId="77777777" w:rsidR="00D12A24" w:rsidRPr="00D12A24" w:rsidRDefault="00D12A24" w:rsidP="00113B0B">
            <w:pPr>
              <w:pStyle w:val="Paragraphedeliste"/>
              <w:widowControl w:val="0"/>
              <w:autoSpaceDE w:val="0"/>
              <w:adjustRightInd w:val="0"/>
              <w:snapToGrid w:val="0"/>
              <w:spacing w:after="0" w:line="240" w:lineRule="auto"/>
              <w:rPr>
                <w:rFonts w:cstheme="minorHAnsi"/>
                <w:bCs/>
                <w:color w:val="000000" w:themeColor="text1"/>
                <w:sz w:val="21"/>
                <w:szCs w:val="21"/>
              </w:rPr>
            </w:pPr>
            <w:r w:rsidRPr="00D12A24">
              <w:rPr>
                <w:rFonts w:cstheme="minorHAnsi"/>
                <w:bCs/>
                <w:color w:val="000000" w:themeColor="text1"/>
                <w:sz w:val="21"/>
                <w:szCs w:val="21"/>
              </w:rPr>
              <w:t>Percevoir l’impact des actions humaines sur les sphères sociale et environnementale et agir en conséquence en développant des projets collectifs de production technologique orientés vers le mieux-être de sa communauté.</w:t>
            </w: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0B1CC895"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47B299"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9B99CE" w14:textId="77777777" w:rsidR="00D12A24" w:rsidRPr="00D12A24" w:rsidRDefault="00D12A24" w:rsidP="00D12A24">
            <w:pPr>
              <w:widowControl w:val="0"/>
              <w:adjustRightInd w:val="0"/>
              <w:snapToGrid w:val="0"/>
              <w:spacing w:after="0" w:line="240" w:lineRule="auto"/>
              <w:jc w:val="center"/>
              <w:rPr>
                <w:sz w:val="21"/>
                <w:szCs w:val="21"/>
              </w:rPr>
            </w:pPr>
          </w:p>
        </w:tc>
      </w:tr>
      <w:tr w:rsidR="00D12A24" w:rsidRPr="00D12A24" w14:paraId="6503F4C3" w14:textId="77777777" w:rsidTr="001D2901">
        <w:tc>
          <w:tcPr>
            <w:tcW w:w="4134"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sdt>
            <w:sdtPr>
              <w:rPr>
                <w:sz w:val="21"/>
                <w:szCs w:val="21"/>
              </w:rPr>
              <w:id w:val="62462786"/>
              <w:placeholder>
                <w:docPart w:val="A19F01AE2C81F840B1AD9FD85A7389D7"/>
              </w:placeholder>
            </w:sdtPr>
            <w:sdtEndPr/>
            <w:sdtContent>
              <w:p w14:paraId="6F7249BC" w14:textId="77777777" w:rsidR="00D12A24" w:rsidRPr="00D12A24" w:rsidRDefault="00D12A24" w:rsidP="00113B0B">
                <w:pPr>
                  <w:pStyle w:val="Paragraphedeliste"/>
                  <w:widowControl w:val="0"/>
                  <w:numPr>
                    <w:ilvl w:val="0"/>
                    <w:numId w:val="1"/>
                  </w:numPr>
                  <w:autoSpaceDE w:val="0"/>
                  <w:adjustRightInd w:val="0"/>
                  <w:snapToGrid w:val="0"/>
                  <w:spacing w:after="0" w:line="240" w:lineRule="auto"/>
                  <w:rPr>
                    <w:rFonts w:cstheme="minorHAnsi"/>
                    <w:bCs/>
                    <w:i/>
                    <w:iCs/>
                    <w:color w:val="000000" w:themeColor="text1"/>
                    <w:sz w:val="21"/>
                    <w:szCs w:val="21"/>
                  </w:rPr>
                </w:pPr>
                <w:r w:rsidRPr="00D12A24">
                  <w:rPr>
                    <w:rFonts w:cstheme="minorHAnsi"/>
                    <w:bCs/>
                    <w:i/>
                    <w:iCs/>
                    <w:color w:val="000000" w:themeColor="text1"/>
                    <w:sz w:val="21"/>
                    <w:szCs w:val="21"/>
                  </w:rPr>
                  <w:t>Composante 3d </w:t>
                </w:r>
              </w:p>
              <w:p w14:paraId="0E83B001" w14:textId="77777777" w:rsidR="00D12A24" w:rsidRPr="00D12A24" w:rsidRDefault="00D12A24" w:rsidP="00113B0B">
                <w:pPr>
                  <w:pStyle w:val="Paragraphedeliste"/>
                  <w:widowControl w:val="0"/>
                  <w:autoSpaceDE w:val="0"/>
                  <w:adjustRightInd w:val="0"/>
                  <w:snapToGrid w:val="0"/>
                  <w:spacing w:after="0" w:line="240" w:lineRule="auto"/>
                  <w:rPr>
                    <w:rFonts w:cstheme="minorHAnsi"/>
                    <w:bCs/>
                    <w:color w:val="000000" w:themeColor="text1"/>
                    <w:sz w:val="21"/>
                    <w:szCs w:val="21"/>
                  </w:rPr>
                </w:pPr>
                <w:r w:rsidRPr="00D12A24">
                  <w:rPr>
                    <w:rFonts w:cstheme="minorHAnsi"/>
                    <w:bCs/>
                    <w:color w:val="000000" w:themeColor="text1"/>
                    <w:sz w:val="21"/>
                    <w:szCs w:val="21"/>
                  </w:rPr>
                  <w:t>Apprendre à l’école et en dehors de l’école, puis tout au long de sa vie, par le biais de la documentation accessible in situ et en ligne, de ses expériences individuelles et des interactions avec les membres de sa communauté, notamment en vue de découvrir les métiers et activités professionnelles qui lui correspondent parmi celles qui l’entourent.</w:t>
                </w:r>
              </w:p>
            </w:sdtContent>
          </w:sdt>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48" w:type="dxa"/>
              <w:bottom w:w="0" w:type="dxa"/>
              <w:right w:w="48" w:type="dxa"/>
            </w:tcMar>
            <w:vAlign w:val="center"/>
          </w:tcPr>
          <w:p w14:paraId="6D03CFD5" w14:textId="77777777" w:rsidR="00D12A24" w:rsidRPr="00D12A24" w:rsidRDefault="00D12A24" w:rsidP="00D12A24">
            <w:pPr>
              <w:widowControl w:val="0"/>
              <w:adjustRightInd w:val="0"/>
              <w:snapToGrid w:val="0"/>
              <w:spacing w:after="0" w:line="240" w:lineRule="auto"/>
              <w:jc w:val="center"/>
              <w:rPr>
                <w:sz w:val="21"/>
                <w:szCs w:val="21"/>
              </w:rPr>
            </w:pPr>
          </w:p>
        </w:tc>
        <w:tc>
          <w:tcPr>
            <w:tcW w:w="28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49046E" w14:textId="77777777" w:rsidR="00D12A24" w:rsidRPr="00D12A24" w:rsidRDefault="00D12A24" w:rsidP="00D12A24">
            <w:pPr>
              <w:widowControl w:val="0"/>
              <w:adjustRightInd w:val="0"/>
              <w:snapToGrid w:val="0"/>
              <w:spacing w:after="0" w:line="240" w:lineRule="auto"/>
              <w:jc w:val="center"/>
              <w:rPr>
                <w:sz w:val="21"/>
                <w:szCs w:val="21"/>
              </w:rPr>
            </w:pPr>
          </w:p>
        </w:tc>
        <w:tc>
          <w:tcPr>
            <w:tcW w:w="28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3BD915" w14:textId="77777777" w:rsidR="00D12A24" w:rsidRPr="00D12A24" w:rsidRDefault="00D12A24" w:rsidP="00D12A24">
            <w:pPr>
              <w:widowControl w:val="0"/>
              <w:adjustRightInd w:val="0"/>
              <w:snapToGrid w:val="0"/>
              <w:spacing w:after="0" w:line="240" w:lineRule="auto"/>
              <w:jc w:val="center"/>
              <w:rPr>
                <w:sz w:val="21"/>
                <w:szCs w:val="21"/>
              </w:rPr>
            </w:pPr>
          </w:p>
        </w:tc>
      </w:tr>
    </w:tbl>
    <w:p w14:paraId="69D1BD8F" w14:textId="38DC817D" w:rsidR="001D2901" w:rsidRDefault="001D2901" w:rsidP="00A81E46">
      <w:pPr>
        <w:spacing w:after="0" w:line="240" w:lineRule="auto"/>
        <w:ind w:left="567" w:hanging="567"/>
        <w:jc w:val="both"/>
        <w:rPr>
          <w:sz w:val="21"/>
          <w:szCs w:val="21"/>
          <w:lang w:val="fr"/>
        </w:rPr>
      </w:pPr>
    </w:p>
    <w:p w14:paraId="7E6075B1" w14:textId="77777777" w:rsidR="00A81E46" w:rsidRPr="00A81E46" w:rsidRDefault="00A81E46" w:rsidP="00A81E46">
      <w:pPr>
        <w:spacing w:after="0" w:line="240" w:lineRule="auto"/>
        <w:ind w:left="567" w:hanging="567"/>
        <w:jc w:val="both"/>
        <w:rPr>
          <w:sz w:val="21"/>
          <w:szCs w:val="21"/>
          <w:lang w:val="fr"/>
        </w:rPr>
      </w:pPr>
    </w:p>
    <w:p w14:paraId="5FD21CD7" w14:textId="3FD36D69" w:rsidR="001D2901" w:rsidRPr="00A81E46" w:rsidRDefault="001D2901" w:rsidP="00A81E46">
      <w:pPr>
        <w:spacing w:after="0" w:line="240" w:lineRule="auto"/>
        <w:ind w:left="567" w:hanging="567"/>
        <w:jc w:val="both"/>
        <w:rPr>
          <w:sz w:val="21"/>
          <w:szCs w:val="21"/>
        </w:rPr>
      </w:pPr>
      <w:r w:rsidRPr="00A81E46">
        <w:rPr>
          <w:b/>
          <w:bCs/>
          <w:sz w:val="21"/>
          <w:szCs w:val="21"/>
          <w:lang w:val="fr"/>
        </w:rPr>
        <w:t>NB.</w:t>
      </w:r>
      <w:r w:rsidRPr="00A81E46">
        <w:rPr>
          <w:sz w:val="21"/>
          <w:szCs w:val="21"/>
          <w:lang w:val="fr"/>
        </w:rPr>
        <w:tab/>
        <w:t xml:space="preserve">Lors de l’évaluation des élèves, on tâchera de </w:t>
      </w:r>
      <w:r w:rsidRPr="00A81E46">
        <w:rPr>
          <w:sz w:val="21"/>
          <w:szCs w:val="21"/>
        </w:rPr>
        <w:t>conserver à l’esprit le niveau scolaire concerné et les contenus des programmes : l’objectif de ces derniers n’est pas de former des chercheurs et des chercheuses en trois ans !</w:t>
      </w:r>
    </w:p>
    <w:p w14:paraId="2D1937FA" w14:textId="3B853BB3" w:rsidR="001D2901" w:rsidRPr="00A81E46" w:rsidRDefault="001D2901" w:rsidP="00A81E46">
      <w:pPr>
        <w:spacing w:after="0" w:line="240" w:lineRule="auto"/>
        <w:ind w:left="567" w:hanging="567"/>
        <w:jc w:val="both"/>
        <w:rPr>
          <w:sz w:val="21"/>
          <w:szCs w:val="21"/>
          <w:lang w:val="fr"/>
        </w:rPr>
      </w:pPr>
    </w:p>
    <w:p w14:paraId="01501F9E" w14:textId="6313D89A" w:rsidR="001D2901" w:rsidRPr="00A81E46" w:rsidRDefault="001D2901" w:rsidP="00A81E46">
      <w:pPr>
        <w:spacing w:after="0" w:line="240" w:lineRule="auto"/>
        <w:ind w:left="1134" w:hanging="1134"/>
        <w:jc w:val="both"/>
        <w:rPr>
          <w:sz w:val="21"/>
          <w:szCs w:val="21"/>
          <w:lang w:val="fr"/>
        </w:rPr>
      </w:pPr>
      <w:r w:rsidRPr="00A81E46">
        <w:rPr>
          <w:b/>
          <w:bCs/>
          <w:sz w:val="21"/>
          <w:szCs w:val="21"/>
          <w:lang w:val="fr"/>
        </w:rPr>
        <w:t>Attention :</w:t>
      </w:r>
      <w:r w:rsidRPr="00A81E46">
        <w:rPr>
          <w:sz w:val="21"/>
          <w:szCs w:val="21"/>
          <w:lang w:val="fr"/>
        </w:rPr>
        <w:tab/>
        <w:t xml:space="preserve">Il n’est pas attendu que les élèves atteignent le niveau </w:t>
      </w:r>
      <w:r w:rsidRPr="008A6F90">
        <w:rPr>
          <w:i/>
          <w:iCs/>
          <w:sz w:val="21"/>
          <w:szCs w:val="21"/>
          <w:lang w:val="fr"/>
        </w:rPr>
        <w:t>acquisition</w:t>
      </w:r>
      <w:r w:rsidRPr="00A81E46">
        <w:rPr>
          <w:sz w:val="21"/>
          <w:szCs w:val="21"/>
          <w:lang w:val="fr"/>
        </w:rPr>
        <w:t xml:space="preserve"> la </w:t>
      </w:r>
      <w:r w:rsidR="00A81E46" w:rsidRPr="00A81E46">
        <w:rPr>
          <w:sz w:val="21"/>
          <w:szCs w:val="21"/>
          <w:lang w:val="fr"/>
        </w:rPr>
        <w:t>septième</w:t>
      </w:r>
      <w:r w:rsidRPr="00A81E46">
        <w:rPr>
          <w:sz w:val="21"/>
          <w:szCs w:val="21"/>
          <w:lang w:val="fr"/>
        </w:rPr>
        <w:t xml:space="preserve"> année</w:t>
      </w:r>
      <w:r w:rsidR="00A81E46" w:rsidRPr="00A81E46">
        <w:rPr>
          <w:sz w:val="21"/>
          <w:szCs w:val="21"/>
          <w:lang w:val="fr"/>
        </w:rPr>
        <w:t xml:space="preserve">, le niveau </w:t>
      </w:r>
      <w:r w:rsidR="00A81E46" w:rsidRPr="008A6F90">
        <w:rPr>
          <w:i/>
          <w:iCs/>
          <w:sz w:val="21"/>
          <w:szCs w:val="21"/>
          <w:lang w:val="fr"/>
        </w:rPr>
        <w:t>application</w:t>
      </w:r>
      <w:r w:rsidR="00A81E46" w:rsidRPr="00A81E46">
        <w:rPr>
          <w:sz w:val="21"/>
          <w:szCs w:val="21"/>
          <w:lang w:val="fr"/>
        </w:rPr>
        <w:t xml:space="preserve"> la huitième année et le niveau </w:t>
      </w:r>
      <w:r w:rsidR="00A81E46" w:rsidRPr="008A6F90">
        <w:rPr>
          <w:i/>
          <w:iCs/>
          <w:sz w:val="21"/>
          <w:szCs w:val="21"/>
          <w:lang w:val="fr"/>
        </w:rPr>
        <w:t>autonomie</w:t>
      </w:r>
      <w:r w:rsidR="00A81E46" w:rsidRPr="00A81E46">
        <w:rPr>
          <w:sz w:val="21"/>
          <w:szCs w:val="21"/>
          <w:lang w:val="fr"/>
        </w:rPr>
        <w:t xml:space="preserve"> la neuvième année, pour chacune des composantes des compétences. Il est </w:t>
      </w:r>
      <w:r w:rsidR="00A81E46">
        <w:rPr>
          <w:sz w:val="21"/>
          <w:szCs w:val="21"/>
          <w:lang w:val="fr"/>
        </w:rPr>
        <w:t xml:space="preserve">en effet </w:t>
      </w:r>
      <w:r w:rsidR="00A81E46" w:rsidRPr="00A81E46">
        <w:rPr>
          <w:sz w:val="21"/>
          <w:szCs w:val="21"/>
          <w:lang w:val="fr"/>
        </w:rPr>
        <w:t xml:space="preserve">tout à fait possible qu’en fonction des programmes, </w:t>
      </w:r>
      <w:r w:rsidR="00A81E46">
        <w:rPr>
          <w:sz w:val="21"/>
          <w:szCs w:val="21"/>
          <w:lang w:val="fr"/>
        </w:rPr>
        <w:t xml:space="preserve">les élèves </w:t>
      </w:r>
      <w:r w:rsidR="00A81E46" w:rsidRPr="00A81E46">
        <w:rPr>
          <w:sz w:val="21"/>
          <w:szCs w:val="21"/>
          <w:lang w:val="fr"/>
        </w:rPr>
        <w:t xml:space="preserve">atteignent </w:t>
      </w:r>
      <w:r w:rsidR="00A81E46" w:rsidRPr="008A6F90">
        <w:rPr>
          <w:i/>
          <w:iCs/>
          <w:sz w:val="21"/>
          <w:szCs w:val="21"/>
          <w:lang w:val="fr"/>
        </w:rPr>
        <w:t>l’autonomie</w:t>
      </w:r>
      <w:r w:rsidR="00A81E46" w:rsidRPr="00A81E46">
        <w:rPr>
          <w:sz w:val="21"/>
          <w:szCs w:val="21"/>
          <w:lang w:val="fr"/>
        </w:rPr>
        <w:t xml:space="preserve"> </w:t>
      </w:r>
      <w:r w:rsidR="00A81E46">
        <w:rPr>
          <w:sz w:val="21"/>
          <w:szCs w:val="21"/>
          <w:lang w:val="fr"/>
        </w:rPr>
        <w:t xml:space="preserve">pour certaines composantes </w:t>
      </w:r>
      <w:r w:rsidR="00A81E46" w:rsidRPr="00A81E46">
        <w:rPr>
          <w:sz w:val="21"/>
          <w:szCs w:val="21"/>
          <w:lang w:val="fr"/>
        </w:rPr>
        <w:t>en septième année déjà, et que pour d’autres, la progression se fasse tout au long de la neuvième année uniquement.</w:t>
      </w:r>
    </w:p>
    <w:sectPr w:rsidR="001D2901" w:rsidRPr="00A81E46" w:rsidSect="00A81E46">
      <w:pgSz w:w="16820" w:h="11900"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7E02" w14:textId="77777777" w:rsidR="002935A0" w:rsidRDefault="002935A0" w:rsidP="002935A0">
      <w:pPr>
        <w:spacing w:after="0" w:line="240" w:lineRule="auto"/>
      </w:pPr>
      <w:r>
        <w:separator/>
      </w:r>
    </w:p>
  </w:endnote>
  <w:endnote w:type="continuationSeparator" w:id="0">
    <w:p w14:paraId="5200BBC2" w14:textId="77777777" w:rsidR="002935A0" w:rsidRDefault="002935A0" w:rsidP="0029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345B" w14:textId="77777777" w:rsidR="002935A0" w:rsidRDefault="002935A0" w:rsidP="002935A0">
      <w:pPr>
        <w:spacing w:after="0" w:line="240" w:lineRule="auto"/>
      </w:pPr>
      <w:r>
        <w:separator/>
      </w:r>
    </w:p>
  </w:footnote>
  <w:footnote w:type="continuationSeparator" w:id="0">
    <w:p w14:paraId="7E4790DD" w14:textId="77777777" w:rsidR="002935A0" w:rsidRDefault="002935A0" w:rsidP="00293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BB9"/>
    <w:multiLevelType w:val="hybridMultilevel"/>
    <w:tmpl w:val="19AA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BE"/>
    <w:rsid w:val="001C045A"/>
    <w:rsid w:val="001D2901"/>
    <w:rsid w:val="002935A0"/>
    <w:rsid w:val="00564FDD"/>
    <w:rsid w:val="007802B7"/>
    <w:rsid w:val="008A6F90"/>
    <w:rsid w:val="00A81E46"/>
    <w:rsid w:val="00AB38AA"/>
    <w:rsid w:val="00AF45BE"/>
    <w:rsid w:val="00B50830"/>
    <w:rsid w:val="00C00754"/>
    <w:rsid w:val="00D07247"/>
    <w:rsid w:val="00D12A24"/>
    <w:rsid w:val="00D1672D"/>
    <w:rsid w:val="00D2409D"/>
    <w:rsid w:val="00E06781"/>
    <w:rsid w:val="00E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E9469"/>
  <w15:chartTrackingRefBased/>
  <w15:docId w15:val="{9ED0A764-6CF7-47CF-A050-79BADCB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BE"/>
    <w:pPr>
      <w:spacing w:after="200" w:line="276" w:lineRule="auto"/>
    </w:pPr>
    <w:rPr>
      <w:rFonts w:eastAsiaTheme="minorEastAs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Points,Liste Paragraf,Bullets,Numbered List Paragraph,References,List Paragraph1"/>
    <w:basedOn w:val="Normal"/>
    <w:link w:val="ParagraphedelisteCar"/>
    <w:uiPriority w:val="34"/>
    <w:qFormat/>
    <w:rsid w:val="00AF45BE"/>
    <w:pPr>
      <w:ind w:left="720"/>
      <w:contextualSpacing/>
    </w:pPr>
  </w:style>
  <w:style w:type="character" w:customStyle="1" w:styleId="ParagraphedelisteCar">
    <w:name w:val="Paragraphe de liste Car"/>
    <w:aliases w:val="Bullet Points Car,Liste Paragraf Car,Bullets Car,Numbered List Paragraph Car,References Car,List Paragraph1 Car"/>
    <w:link w:val="Paragraphedeliste"/>
    <w:uiPriority w:val="34"/>
    <w:locked/>
    <w:rsid w:val="00AF45B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F01AE2C81F840B1AD9FD85A7389D7"/>
        <w:category>
          <w:name w:val="Général"/>
          <w:gallery w:val="placeholder"/>
        </w:category>
        <w:types>
          <w:type w:val="bbPlcHdr"/>
        </w:types>
        <w:behaviors>
          <w:behavior w:val="content"/>
        </w:behaviors>
        <w:guid w:val="{01E9E578-8285-9340-9804-F62CB11F321E}"/>
      </w:docPartPr>
      <w:docPartBody>
        <w:p w:rsidR="007B3968" w:rsidRDefault="004477B3" w:rsidP="004477B3">
          <w:pPr>
            <w:pStyle w:val="A19F01AE2C81F840B1AD9FD85A7389D7"/>
          </w:pPr>
          <w:r w:rsidRPr="00B0239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Corps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3A"/>
    <w:rsid w:val="0037245F"/>
    <w:rsid w:val="004477B3"/>
    <w:rsid w:val="006E2CE4"/>
    <w:rsid w:val="007B3968"/>
    <w:rsid w:val="00FA413A"/>
    <w:rsid w:val="00FE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77B3"/>
    <w:rPr>
      <w:color w:val="808080"/>
    </w:rPr>
  </w:style>
  <w:style w:type="paragraph" w:customStyle="1" w:styleId="A19F01AE2C81F840B1AD9FD85A7389D7">
    <w:name w:val="A19F01AE2C81F840B1AD9FD85A7389D7"/>
    <w:rsid w:val="004477B3"/>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a8ea352-da58-48e4-ac02-2b110b1a3fe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545996AC7DB774EA6CE7665F535B95C" ma:contentTypeVersion="4" ma:contentTypeDescription="Crée un document." ma:contentTypeScope="" ma:versionID="9cdcdc410ec9a8ac543b600475728e09">
  <xsd:schema xmlns:xsd="http://www.w3.org/2001/XMLSchema" xmlns:xs="http://www.w3.org/2001/XMLSchema" xmlns:p="http://schemas.microsoft.com/office/2006/metadata/properties" xmlns:ns2="9d0b55f4-2809-4223-a844-fa6629e52ccf" xmlns:ns3="88b740fa-ed47-4024-81b8-9a2395655b65" targetNamespace="http://schemas.microsoft.com/office/2006/metadata/properties" ma:root="true" ma:fieldsID="0b39cdf21741f56f1d2420603625eb28" ns2:_="" ns3:_="">
    <xsd:import namespace="9d0b55f4-2809-4223-a844-fa6629e52ccf"/>
    <xsd:import namespace="88b740fa-ed47-4024-81b8-9a2395655b65"/>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f5cb74-9d25-4f72-9174-9ead7b2ceced}" ma:internalName="TaxCatchAll" ma:showField="CatchAllData" ma:web="746437b1-3bea-4d70-abd8-977c1d74962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6f5cb74-9d25-4f72-9174-9ead7b2ceced}" ma:internalName="TaxCatchAllLabel" ma:readOnly="true" ma:showField="CatchAllDataLabel" ma:web="746437b1-3bea-4d70-abd8-977c1d7496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b740fa-ed47-4024-81b8-9a2395655b65" elementFormDefault="qualified">
    <xsd:import namespace="http://schemas.microsoft.com/office/2006/documentManagement/types"/>
    <xsd:import namespace="http://schemas.microsoft.com/office/infopath/2007/PartnerControls"/>
    <xsd:element name="MediaServiceFastMetadata" ma:index="13" nillable="true" ma:displayName="MediaServiceFastMetadata" ma:hidden="true" ma:internalName="MediaServiceFastMetadata" ma:readOnly="tru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TaxCatchAll xmlns="9d0b55f4-2809-4223-a844-fa6629e52ccf">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45514-C185-42AD-9618-9BB88152B3D7}">
  <ds:schemaRefs>
    <ds:schemaRef ds:uri="Microsoft.SharePoint.Taxonomy.ContentTypeSync"/>
  </ds:schemaRefs>
</ds:datastoreItem>
</file>

<file path=customXml/itemProps2.xml><?xml version="1.0" encoding="utf-8"?>
<ds:datastoreItem xmlns:ds="http://schemas.openxmlformats.org/officeDocument/2006/customXml" ds:itemID="{DB2DAFB6-3378-4B5A-B951-D9DA9D9CF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b55f4-2809-4223-a844-fa6629e52ccf"/>
    <ds:schemaRef ds:uri="88b740fa-ed47-4024-81b8-9a2395655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DF7BD-6DD7-4E79-8BFA-6D9729A99A90}">
  <ds:schemaRefs>
    <ds:schemaRef ds:uri="http://schemas.microsoft.com/office/2006/metadata/properties"/>
    <ds:schemaRef ds:uri="http://schemas.microsoft.com/office/infopath/2007/PartnerControls"/>
    <ds:schemaRef ds:uri="9d0b55f4-2809-4223-a844-fa6629e52ccf"/>
  </ds:schemaRefs>
</ds:datastoreItem>
</file>

<file path=customXml/itemProps4.xml><?xml version="1.0" encoding="utf-8"?>
<ds:datastoreItem xmlns:ds="http://schemas.openxmlformats.org/officeDocument/2006/customXml" ds:itemID="{0743CE0D-01B9-4B62-AA3B-66188056C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4269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BOISELET Geraldine</cp:lastModifiedBy>
  <cp:revision>2</cp:revision>
  <dcterms:created xsi:type="dcterms:W3CDTF">2021-09-07T08:48:00Z</dcterms:created>
  <dcterms:modified xsi:type="dcterms:W3CDTF">2021-09-07T08:48:00Z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0x0101002545996AC7DB774EA6CE7665F535B95C</vt:lpwstr>
  </property>
</Properties>
</file>