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2288" w14:textId="5283C5CC" w:rsidR="00C51DAD" w:rsidRPr="001F71A0" w:rsidRDefault="00085A12" w:rsidP="0084421A">
      <w:pPr>
        <w:snapToGrid w:val="0"/>
        <w:spacing w:after="0" w:line="240" w:lineRule="auto"/>
        <w:jc w:val="center"/>
        <w:rPr>
          <w:rFonts w:ascii="Times New Roman" w:hAnsi="Times New Roman" w:cs="Times New Roman"/>
          <w:b/>
          <w:u w:val="double"/>
        </w:rPr>
      </w:pPr>
      <w:r>
        <w:rPr>
          <w:rFonts w:ascii="Times New Roman" w:hAnsi="Times New Roman" w:cs="Times New Roman"/>
          <w:b/>
          <w:u w:val="double"/>
        </w:rPr>
        <w:t>Notion d’</w:t>
      </w:r>
      <w:r w:rsidR="00C51DAD" w:rsidRPr="001F71A0">
        <w:rPr>
          <w:rFonts w:ascii="Times New Roman" w:hAnsi="Times New Roman" w:cs="Times New Roman"/>
          <w:b/>
          <w:u w:val="double"/>
        </w:rPr>
        <w:t>élément chimique</w:t>
      </w:r>
    </w:p>
    <w:p w14:paraId="21EE0E1E" w14:textId="44A057F6" w:rsidR="00954C75" w:rsidRPr="001F71A0" w:rsidRDefault="00954C75" w:rsidP="0084421A">
      <w:pPr>
        <w:snapToGrid w:val="0"/>
        <w:spacing w:after="0" w:line="240" w:lineRule="auto"/>
        <w:jc w:val="both"/>
        <w:rPr>
          <w:rFonts w:ascii="Times New Roman" w:hAnsi="Times New Roman" w:cs="Times New Roman"/>
        </w:rPr>
      </w:pPr>
    </w:p>
    <w:p w14:paraId="1F32692F" w14:textId="54237323" w:rsidR="005D3A30" w:rsidRPr="00085A12" w:rsidRDefault="005D3A30" w:rsidP="0084421A">
      <w:pPr>
        <w:snapToGrid w:val="0"/>
        <w:spacing w:after="120" w:line="240" w:lineRule="auto"/>
        <w:jc w:val="both"/>
        <w:rPr>
          <w:rFonts w:ascii="Times New Roman" w:hAnsi="Times New Roman" w:cs="Times New Roman"/>
          <w:b/>
        </w:rPr>
      </w:pPr>
      <w:r w:rsidRPr="00085A12">
        <w:rPr>
          <w:rFonts w:ascii="Times New Roman" w:hAnsi="Times New Roman" w:cs="Times New Roman"/>
        </w:rPr>
        <w:t>« </w:t>
      </w:r>
      <w:r w:rsidRPr="00085A12">
        <w:rPr>
          <w:rFonts w:ascii="Times New Roman" w:hAnsi="Times New Roman" w:cs="Times New Roman"/>
          <w:b/>
        </w:rPr>
        <w:t xml:space="preserve">On définit </w:t>
      </w:r>
      <w:r w:rsidR="00085A12">
        <w:rPr>
          <w:rFonts w:ascii="Times New Roman" w:hAnsi="Times New Roman" w:cs="Times New Roman"/>
          <w:b/>
        </w:rPr>
        <w:t>la notion d’</w:t>
      </w:r>
      <w:r w:rsidRPr="00085A12">
        <w:rPr>
          <w:rFonts w:ascii="Times New Roman" w:hAnsi="Times New Roman" w:cs="Times New Roman"/>
          <w:b/>
        </w:rPr>
        <w:t>élément chimique comme un ensemble d’atomes ayant des propriétés chimiques identiques. </w:t>
      </w:r>
      <w:r w:rsidRPr="00085A12">
        <w:rPr>
          <w:rFonts w:ascii="Times New Roman" w:hAnsi="Times New Roman" w:cs="Times New Roman"/>
        </w:rPr>
        <w:t>»</w:t>
      </w:r>
    </w:p>
    <w:p w14:paraId="4E610B90" w14:textId="26787E5B" w:rsidR="00085A12" w:rsidRPr="0084421A" w:rsidRDefault="00085A12" w:rsidP="0084421A">
      <w:pPr>
        <w:snapToGrid w:val="0"/>
        <w:spacing w:after="120" w:line="240" w:lineRule="auto"/>
        <w:jc w:val="both"/>
        <w:rPr>
          <w:rFonts w:ascii="Times New Roman" w:hAnsi="Times New Roman" w:cs="Times New Roman"/>
          <w:sz w:val="21"/>
          <w:szCs w:val="21"/>
        </w:rPr>
      </w:pPr>
      <w:r>
        <w:rPr>
          <w:rFonts w:ascii="Times New Roman" w:hAnsi="Times New Roman" w:cs="Times New Roman"/>
        </w:rPr>
        <w:t xml:space="preserve">Dans la fiche précédente, lorsque nous parlions de l’or sous forme d’atomes ou de lingots, nous avons considéré que les atomes d’or étaient toujours tous parfaitement identiques. En réalité, ils présentent de petites différences, dont vous comprendrez la raison plus tard dans votre scolarité. Mais tous se comportent bien chimiquement comme de l’or. </w:t>
      </w:r>
      <w:r w:rsidRPr="0084421A">
        <w:rPr>
          <w:rFonts w:ascii="Times New Roman" w:hAnsi="Times New Roman" w:cs="Times New Roman"/>
          <w:sz w:val="21"/>
          <w:szCs w:val="21"/>
        </w:rPr>
        <w:t>On a ainsi décidé de les rassembler en une « famille d’atomes d’or » à laquelle on a donné un nom : « l’élément or ».</w:t>
      </w:r>
    </w:p>
    <w:p w14:paraId="7C056821" w14:textId="35C3C9A9" w:rsidR="00085A12" w:rsidRDefault="00085A12" w:rsidP="0084421A">
      <w:pPr>
        <w:snapToGrid w:val="0"/>
        <w:spacing w:after="120" w:line="240" w:lineRule="auto"/>
        <w:jc w:val="both"/>
        <w:rPr>
          <w:rFonts w:ascii="Times New Roman" w:hAnsi="Times New Roman" w:cs="Times New Roman"/>
        </w:rPr>
      </w:pPr>
      <w:r>
        <w:rPr>
          <w:rFonts w:ascii="Times New Roman" w:hAnsi="Times New Roman" w:cs="Times New Roman"/>
        </w:rPr>
        <w:t>L’élément or, c’est une catégorie d’atomes qui ont tous les mêmes propriétés : celles de l’or. De même, on pourra ainsi parler de l’élément carbone, de l’élément oxygène, hydrogène, etc. Et pour bien ranger ces éléments, les chimistes disposent d’une représentation très organisée et très utile : la classification périodique des éléments !</w:t>
      </w:r>
    </w:p>
    <w:tbl>
      <w:tblPr>
        <w:tblStyle w:val="Grilledutableau"/>
        <w:tblW w:w="0" w:type="auto"/>
        <w:tblLook w:val="04A0" w:firstRow="1" w:lastRow="0" w:firstColumn="1" w:lastColumn="0" w:noHBand="0" w:noVBand="1"/>
      </w:tblPr>
      <w:tblGrid>
        <w:gridCol w:w="2695"/>
        <w:gridCol w:w="2411"/>
        <w:gridCol w:w="2554"/>
        <w:gridCol w:w="2554"/>
      </w:tblGrid>
      <w:tr w:rsidR="0084421A" w14:paraId="6441EFDB" w14:textId="77777777" w:rsidTr="0084421A">
        <w:tc>
          <w:tcPr>
            <w:tcW w:w="2695" w:type="dxa"/>
            <w:vMerge w:val="restart"/>
            <w:vAlign w:val="center"/>
          </w:tcPr>
          <w:p w14:paraId="4097A0AB" w14:textId="02AF56B6" w:rsidR="0084421A" w:rsidRDefault="0084421A" w:rsidP="0084421A">
            <w:pPr>
              <w:snapToGrid w:val="0"/>
              <w:jc w:val="center"/>
              <w:rPr>
                <w:rFonts w:ascii="Times New Roman" w:hAnsi="Times New Roman" w:cs="Times New Roman"/>
              </w:rPr>
            </w:pPr>
            <w:r>
              <w:rPr>
                <w:rFonts w:ascii="Times New Roman" w:hAnsi="Times New Roman" w:cs="Times New Roman"/>
              </w:rPr>
              <w:t>Trois exemple</w:t>
            </w:r>
            <w:r w:rsidR="00F00193">
              <w:rPr>
                <w:rFonts w:ascii="Times New Roman" w:hAnsi="Times New Roman" w:cs="Times New Roman"/>
              </w:rPr>
              <w:t>s</w:t>
            </w:r>
            <w:r>
              <w:rPr>
                <w:rFonts w:ascii="Times New Roman" w:hAnsi="Times New Roman" w:cs="Times New Roman"/>
              </w:rPr>
              <w:t xml:space="preserve"> de la famille de l’élément Carbone</w:t>
            </w:r>
          </w:p>
        </w:tc>
        <w:tc>
          <w:tcPr>
            <w:tcW w:w="2411" w:type="dxa"/>
            <w:vAlign w:val="center"/>
          </w:tcPr>
          <w:p w14:paraId="13FBA0C8" w14:textId="27ED4046" w:rsidR="0084421A" w:rsidRDefault="0084421A" w:rsidP="0084421A">
            <w:pPr>
              <w:snapToGrid w:val="0"/>
              <w:jc w:val="center"/>
              <w:rPr>
                <w:rFonts w:ascii="Times New Roman" w:hAnsi="Times New Roman" w:cs="Times New Roman"/>
              </w:rPr>
            </w:pPr>
            <w:r>
              <w:rPr>
                <w:rFonts w:ascii="Times New Roman" w:hAnsi="Times New Roman" w:cs="Times New Roman"/>
              </w:rPr>
              <w:t>Le Charbon naturel</w:t>
            </w:r>
          </w:p>
        </w:tc>
        <w:tc>
          <w:tcPr>
            <w:tcW w:w="2554" w:type="dxa"/>
            <w:vAlign w:val="center"/>
          </w:tcPr>
          <w:p w14:paraId="3753D845" w14:textId="1A794D40" w:rsidR="0084421A" w:rsidRDefault="0084421A" w:rsidP="0084421A">
            <w:pPr>
              <w:snapToGrid w:val="0"/>
              <w:jc w:val="center"/>
              <w:rPr>
                <w:rFonts w:ascii="Times New Roman" w:hAnsi="Times New Roman" w:cs="Times New Roman"/>
              </w:rPr>
            </w:pPr>
            <w:r>
              <w:rPr>
                <w:rFonts w:ascii="Times New Roman" w:hAnsi="Times New Roman" w:cs="Times New Roman"/>
              </w:rPr>
              <w:t>Le Graphite</w:t>
            </w:r>
          </w:p>
        </w:tc>
        <w:tc>
          <w:tcPr>
            <w:tcW w:w="2554" w:type="dxa"/>
            <w:vAlign w:val="center"/>
          </w:tcPr>
          <w:p w14:paraId="269CB113" w14:textId="53C79146" w:rsidR="0084421A" w:rsidRDefault="0084421A" w:rsidP="0084421A">
            <w:pPr>
              <w:snapToGrid w:val="0"/>
              <w:jc w:val="center"/>
              <w:rPr>
                <w:rFonts w:ascii="Times New Roman" w:hAnsi="Times New Roman" w:cs="Times New Roman"/>
              </w:rPr>
            </w:pPr>
            <w:r>
              <w:rPr>
                <w:rFonts w:ascii="Times New Roman" w:hAnsi="Times New Roman" w:cs="Times New Roman"/>
              </w:rPr>
              <w:t>Le Diamant</w:t>
            </w:r>
          </w:p>
        </w:tc>
      </w:tr>
      <w:tr w:rsidR="0084421A" w14:paraId="39D5AFAA" w14:textId="77777777" w:rsidTr="0084421A">
        <w:tc>
          <w:tcPr>
            <w:tcW w:w="2695" w:type="dxa"/>
            <w:vMerge/>
            <w:vAlign w:val="center"/>
          </w:tcPr>
          <w:p w14:paraId="42B9D7BD" w14:textId="77777777" w:rsidR="0084421A" w:rsidRDefault="0084421A" w:rsidP="0084421A">
            <w:pPr>
              <w:snapToGrid w:val="0"/>
              <w:jc w:val="center"/>
              <w:rPr>
                <w:rFonts w:ascii="Times New Roman" w:hAnsi="Times New Roman" w:cs="Times New Roman"/>
              </w:rPr>
            </w:pPr>
          </w:p>
        </w:tc>
        <w:tc>
          <w:tcPr>
            <w:tcW w:w="2411" w:type="dxa"/>
            <w:vAlign w:val="center"/>
          </w:tcPr>
          <w:p w14:paraId="6E96410E" w14:textId="02E6E5EF" w:rsidR="0084421A" w:rsidRDefault="0084421A" w:rsidP="0084421A">
            <w:pPr>
              <w:snapToGrid w:val="0"/>
              <w:jc w:val="center"/>
              <w:rPr>
                <w:rFonts w:ascii="Times New Roman" w:hAnsi="Times New Roman" w:cs="Times New Roman"/>
              </w:rPr>
            </w:pPr>
            <w:r w:rsidRPr="0084421A">
              <w:rPr>
                <w:rFonts w:ascii="Times New Roman" w:hAnsi="Times New Roman" w:cs="Times New Roman"/>
                <w:noProof/>
                <w:lang w:val="en-US"/>
              </w:rPr>
              <w:drawing>
                <wp:inline distT="0" distB="0" distL="0" distR="0" wp14:anchorId="16CCCD8A" wp14:editId="4F335220">
                  <wp:extent cx="1389380" cy="819150"/>
                  <wp:effectExtent l="0" t="0" r="1270" b="0"/>
                  <wp:docPr id="4" name="Picture 4" descr="C:\Users\PC\Documents\MENFP\NECTAR\Sequences 8e AF\Documents 8e travailles\452001095-lign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Documents\MENFP\NECTAR\Sequences 8e AF\Documents 8e travailles\452001095-lignit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9893" cy="819452"/>
                          </a:xfrm>
                          <a:prstGeom prst="rect">
                            <a:avLst/>
                          </a:prstGeom>
                          <a:noFill/>
                          <a:ln>
                            <a:noFill/>
                          </a:ln>
                        </pic:spPr>
                      </pic:pic>
                    </a:graphicData>
                  </a:graphic>
                </wp:inline>
              </w:drawing>
            </w:r>
          </w:p>
        </w:tc>
        <w:tc>
          <w:tcPr>
            <w:tcW w:w="2554" w:type="dxa"/>
            <w:vAlign w:val="center"/>
          </w:tcPr>
          <w:p w14:paraId="154A964C" w14:textId="340CDD7B" w:rsidR="0084421A" w:rsidRDefault="0084421A" w:rsidP="0084421A">
            <w:pPr>
              <w:snapToGrid w:val="0"/>
              <w:jc w:val="center"/>
              <w:rPr>
                <w:rFonts w:ascii="Times New Roman" w:hAnsi="Times New Roman" w:cs="Times New Roman"/>
              </w:rPr>
            </w:pPr>
            <w:r w:rsidRPr="0084421A">
              <w:rPr>
                <w:rFonts w:ascii="Times New Roman" w:hAnsi="Times New Roman" w:cs="Times New Roman"/>
                <w:noProof/>
                <w:lang w:val="en-US"/>
              </w:rPr>
              <w:drawing>
                <wp:inline distT="0" distB="0" distL="0" distR="0" wp14:anchorId="725E04B4" wp14:editId="1853602B">
                  <wp:extent cx="1388745" cy="781050"/>
                  <wp:effectExtent l="0" t="0" r="1905" b="0"/>
                  <wp:docPr id="3" name="Picture 3" descr="C:\Users\PC\Documents\MENFP\NECTAR\Sequences 8e AF\Documents 8e travailles\81vfirRCCgL._SL1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ocuments\MENFP\NECTAR\Sequences 8e AF\Documents 8e travailles\81vfirRCCgL._SL1500_.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4652" cy="784372"/>
                          </a:xfrm>
                          <a:prstGeom prst="rect">
                            <a:avLst/>
                          </a:prstGeom>
                          <a:noFill/>
                          <a:ln>
                            <a:noFill/>
                          </a:ln>
                        </pic:spPr>
                      </pic:pic>
                    </a:graphicData>
                  </a:graphic>
                </wp:inline>
              </w:drawing>
            </w:r>
          </w:p>
        </w:tc>
        <w:tc>
          <w:tcPr>
            <w:tcW w:w="2554" w:type="dxa"/>
            <w:vAlign w:val="center"/>
          </w:tcPr>
          <w:p w14:paraId="69749DC6" w14:textId="346B4356" w:rsidR="0084421A" w:rsidRDefault="0084421A" w:rsidP="0084421A">
            <w:pPr>
              <w:snapToGrid w:val="0"/>
              <w:jc w:val="center"/>
              <w:rPr>
                <w:rFonts w:ascii="Times New Roman" w:hAnsi="Times New Roman" w:cs="Times New Roman"/>
              </w:rPr>
            </w:pPr>
            <w:r w:rsidRPr="0084421A">
              <w:rPr>
                <w:rFonts w:ascii="Times New Roman" w:hAnsi="Times New Roman" w:cs="Times New Roman"/>
                <w:noProof/>
                <w:lang w:val="en-US"/>
              </w:rPr>
              <w:drawing>
                <wp:inline distT="0" distB="0" distL="0" distR="0" wp14:anchorId="494707BA" wp14:editId="63B863E2">
                  <wp:extent cx="1391633" cy="781050"/>
                  <wp:effectExtent l="0" t="0" r="0" b="0"/>
                  <wp:docPr id="1" name="Picture 1" descr="C:\Users\PC\Documents\MENFP\NECTAR\Sequences 8e AF\Documents 8e travailles\téléchargemen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cuments\MENFP\NECTAR\Sequences 8e AF\Documents 8e travailles\téléchargement.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083" cy="808804"/>
                          </a:xfrm>
                          <a:prstGeom prst="rect">
                            <a:avLst/>
                          </a:prstGeom>
                          <a:noFill/>
                          <a:ln>
                            <a:noFill/>
                          </a:ln>
                        </pic:spPr>
                      </pic:pic>
                    </a:graphicData>
                  </a:graphic>
                </wp:inline>
              </w:drawing>
            </w:r>
          </w:p>
        </w:tc>
      </w:tr>
    </w:tbl>
    <w:p w14:paraId="0E5854E6" w14:textId="77777777" w:rsidR="00085A12" w:rsidRPr="004B7906" w:rsidRDefault="00085A12" w:rsidP="007B57C7">
      <w:pPr>
        <w:snapToGrid w:val="0"/>
        <w:spacing w:before="120" w:after="120" w:line="240" w:lineRule="auto"/>
        <w:jc w:val="both"/>
        <w:rPr>
          <w:rFonts w:ascii="Times New Roman" w:hAnsi="Times New Roman" w:cs="Times New Roman"/>
          <w:b/>
          <w:bCs/>
        </w:rPr>
      </w:pPr>
      <w:r w:rsidRPr="004B7906">
        <w:rPr>
          <w:rFonts w:ascii="Times New Roman" w:hAnsi="Times New Roman" w:cs="Times New Roman"/>
          <w:b/>
          <w:bCs/>
        </w:rPr>
        <w:t>La classification périodique des éléments</w:t>
      </w:r>
    </w:p>
    <w:p w14:paraId="126A033E" w14:textId="6C595676" w:rsidR="001D7A35" w:rsidRPr="00085A12" w:rsidRDefault="00085A12" w:rsidP="0084421A">
      <w:pPr>
        <w:snapToGrid w:val="0"/>
        <w:spacing w:after="120" w:line="240" w:lineRule="auto"/>
        <w:jc w:val="both"/>
        <w:rPr>
          <w:rFonts w:ascii="Times New Roman" w:hAnsi="Times New Roman" w:cs="Times New Roman"/>
        </w:rPr>
      </w:pPr>
      <w:r>
        <w:rPr>
          <w:rFonts w:ascii="Times New Roman" w:hAnsi="Times New Roman" w:cs="Times New Roman"/>
        </w:rPr>
        <w:t xml:space="preserve">On connait près </w:t>
      </w:r>
      <w:r w:rsidRPr="00502196">
        <w:rPr>
          <w:rFonts w:ascii="Times New Roman" w:hAnsi="Times New Roman" w:cs="Times New Roman"/>
          <w:b/>
        </w:rPr>
        <w:t>de 118 éléments chimiques</w:t>
      </w:r>
      <w:r>
        <w:rPr>
          <w:rFonts w:ascii="Times New Roman" w:hAnsi="Times New Roman" w:cs="Times New Roman"/>
        </w:rPr>
        <w:t xml:space="preserve"> dont certains sont très rares ; la quasi-totalité (99,99 %) des substances chimiques est constituée de seulement 40 d’entre eux</w:t>
      </w:r>
      <w:r w:rsidR="001D7A35" w:rsidRPr="00085A12">
        <w:rPr>
          <w:rFonts w:ascii="Times New Roman" w:hAnsi="Times New Roman" w:cs="Times New Roman"/>
        </w:rPr>
        <w:t>. En outre, la répartition des éléments varie considérablement selon le milieu observé : par exemple, l’oxygène constitue environ 65 % de la composition élémentaire du corps humain, 49 % de celle de la Terre et à peine 1 % de celle de l’Univers.</w:t>
      </w:r>
    </w:p>
    <w:p w14:paraId="223E0894" w14:textId="2C1AD8DD" w:rsidR="00085A12" w:rsidRDefault="001D7A35" w:rsidP="0084421A">
      <w:pPr>
        <w:snapToGrid w:val="0"/>
        <w:spacing w:after="120" w:line="240" w:lineRule="auto"/>
        <w:jc w:val="both"/>
        <w:rPr>
          <w:rFonts w:ascii="Times New Roman" w:hAnsi="Times New Roman" w:cs="Times New Roman"/>
        </w:rPr>
      </w:pPr>
      <w:r w:rsidRPr="00085A12">
        <w:rPr>
          <w:rFonts w:ascii="Times New Roman" w:hAnsi="Times New Roman" w:cs="Times New Roman"/>
        </w:rPr>
        <w:t xml:space="preserve">Dans la nature on ne retrouve que certains éléments (or, azote, oxygène, soufre, hélium) dans leur état élémentaire. La plupart sont en effet combinés à d’autres éléments par suite de réactions chimiques et forment des composés possédant des propriétés tout à fait </w:t>
      </w:r>
      <w:r>
        <w:rPr>
          <w:rFonts w:ascii="Times New Roman" w:hAnsi="Times New Roman" w:cs="Times New Roman"/>
        </w:rPr>
        <w:t>originales</w:t>
      </w:r>
      <w:r w:rsidRPr="00085A12">
        <w:rPr>
          <w:rFonts w:ascii="Times New Roman" w:hAnsi="Times New Roman" w:cs="Times New Roman"/>
        </w:rPr>
        <w:t>.</w:t>
      </w:r>
    </w:p>
    <w:p w14:paraId="40DBDD9F" w14:textId="77777777" w:rsidR="00085A12" w:rsidRDefault="00085A12" w:rsidP="0084421A">
      <w:pPr>
        <w:snapToGrid w:val="0"/>
        <w:spacing w:after="120" w:line="240" w:lineRule="auto"/>
        <w:jc w:val="both"/>
        <w:rPr>
          <w:rFonts w:ascii="Times New Roman" w:hAnsi="Times New Roman" w:cs="Times New Roman"/>
        </w:rPr>
      </w:pPr>
      <w:r w:rsidRPr="002773A6">
        <w:rPr>
          <w:rFonts w:ascii="Times New Roman" w:hAnsi="Times New Roman" w:cs="Times New Roman"/>
          <w:b/>
        </w:rPr>
        <w:t>Exemple 1</w:t>
      </w:r>
      <w:r>
        <w:rPr>
          <w:rFonts w:ascii="Times New Roman" w:hAnsi="Times New Roman" w:cs="Times New Roman"/>
        </w:rPr>
        <w:t> : Les éléments entrant dans la composition de la croûte terrestre, de l’atmosphère et des océans sont, en pourcentages massiques :</w:t>
      </w:r>
    </w:p>
    <w:tbl>
      <w:tblPr>
        <w:tblStyle w:val="Grilledutableau"/>
        <w:tblW w:w="0" w:type="auto"/>
        <w:tblLook w:val="04A0" w:firstRow="1" w:lastRow="0" w:firstColumn="1" w:lastColumn="0" w:noHBand="0" w:noVBand="1"/>
      </w:tblPr>
      <w:tblGrid>
        <w:gridCol w:w="1631"/>
        <w:gridCol w:w="1678"/>
        <w:gridCol w:w="1639"/>
        <w:gridCol w:w="1678"/>
        <w:gridCol w:w="1621"/>
        <w:gridCol w:w="1679"/>
      </w:tblGrid>
      <w:tr w:rsidR="00085A12" w:rsidRPr="00F85558" w14:paraId="4CB98C93" w14:textId="77777777" w:rsidTr="00CE2C9E">
        <w:tc>
          <w:tcPr>
            <w:tcW w:w="1631" w:type="dxa"/>
            <w:vAlign w:val="center"/>
          </w:tcPr>
          <w:p w14:paraId="4DD1FE05"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Eléments</w:t>
            </w:r>
          </w:p>
        </w:tc>
        <w:tc>
          <w:tcPr>
            <w:tcW w:w="1678" w:type="dxa"/>
            <w:vAlign w:val="center"/>
          </w:tcPr>
          <w:p w14:paraId="0C0AD6D1"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Pourcentage</w:t>
            </w:r>
          </w:p>
        </w:tc>
        <w:tc>
          <w:tcPr>
            <w:tcW w:w="1639" w:type="dxa"/>
            <w:vAlign w:val="center"/>
          </w:tcPr>
          <w:p w14:paraId="16DFD0F7"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Eléments</w:t>
            </w:r>
          </w:p>
        </w:tc>
        <w:tc>
          <w:tcPr>
            <w:tcW w:w="1678" w:type="dxa"/>
            <w:vAlign w:val="center"/>
          </w:tcPr>
          <w:p w14:paraId="236060AF"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Pourcentage</w:t>
            </w:r>
          </w:p>
        </w:tc>
        <w:tc>
          <w:tcPr>
            <w:tcW w:w="1621" w:type="dxa"/>
            <w:vAlign w:val="center"/>
          </w:tcPr>
          <w:p w14:paraId="4369E1F4"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Eléments</w:t>
            </w:r>
          </w:p>
        </w:tc>
        <w:tc>
          <w:tcPr>
            <w:tcW w:w="1679" w:type="dxa"/>
            <w:vAlign w:val="center"/>
          </w:tcPr>
          <w:p w14:paraId="500E3950"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Pourcentage</w:t>
            </w:r>
          </w:p>
        </w:tc>
      </w:tr>
      <w:tr w:rsidR="00085A12" w:rsidRPr="00F85558" w14:paraId="7D6204CF" w14:textId="77777777" w:rsidTr="00CE2C9E">
        <w:tc>
          <w:tcPr>
            <w:tcW w:w="1631" w:type="dxa"/>
            <w:vAlign w:val="center"/>
          </w:tcPr>
          <w:p w14:paraId="0552CD6E"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Oxygène</w:t>
            </w:r>
          </w:p>
        </w:tc>
        <w:tc>
          <w:tcPr>
            <w:tcW w:w="1678" w:type="dxa"/>
          </w:tcPr>
          <w:p w14:paraId="549FA943"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49,10 %</w:t>
            </w:r>
          </w:p>
        </w:tc>
        <w:tc>
          <w:tcPr>
            <w:tcW w:w="1639" w:type="dxa"/>
          </w:tcPr>
          <w:p w14:paraId="0C2D40F1"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Fer</w:t>
            </w:r>
          </w:p>
        </w:tc>
        <w:tc>
          <w:tcPr>
            <w:tcW w:w="1678" w:type="dxa"/>
          </w:tcPr>
          <w:p w14:paraId="3F21099C"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4,70 %</w:t>
            </w:r>
          </w:p>
        </w:tc>
        <w:tc>
          <w:tcPr>
            <w:tcW w:w="1621" w:type="dxa"/>
          </w:tcPr>
          <w:p w14:paraId="717A7804"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Hydrogène</w:t>
            </w:r>
          </w:p>
        </w:tc>
        <w:tc>
          <w:tcPr>
            <w:tcW w:w="1679" w:type="dxa"/>
          </w:tcPr>
          <w:p w14:paraId="025B2333"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0,88 %</w:t>
            </w:r>
          </w:p>
        </w:tc>
      </w:tr>
      <w:tr w:rsidR="00085A12" w:rsidRPr="00F85558" w14:paraId="49D15921" w14:textId="77777777" w:rsidTr="00CE2C9E">
        <w:tc>
          <w:tcPr>
            <w:tcW w:w="1631" w:type="dxa"/>
            <w:vAlign w:val="center"/>
          </w:tcPr>
          <w:p w14:paraId="345F7CA0"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Silicium</w:t>
            </w:r>
          </w:p>
        </w:tc>
        <w:tc>
          <w:tcPr>
            <w:tcW w:w="1678" w:type="dxa"/>
          </w:tcPr>
          <w:p w14:paraId="4E3CE79B"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26,10 %</w:t>
            </w:r>
          </w:p>
        </w:tc>
        <w:tc>
          <w:tcPr>
            <w:tcW w:w="1639" w:type="dxa"/>
          </w:tcPr>
          <w:p w14:paraId="118E0B37"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Sodium</w:t>
            </w:r>
          </w:p>
        </w:tc>
        <w:tc>
          <w:tcPr>
            <w:tcW w:w="1678" w:type="dxa"/>
          </w:tcPr>
          <w:p w14:paraId="1150F1A9"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2,60 %</w:t>
            </w:r>
          </w:p>
        </w:tc>
        <w:tc>
          <w:tcPr>
            <w:tcW w:w="1621" w:type="dxa"/>
          </w:tcPr>
          <w:p w14:paraId="6953881B"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Titane</w:t>
            </w:r>
          </w:p>
        </w:tc>
        <w:tc>
          <w:tcPr>
            <w:tcW w:w="1679" w:type="dxa"/>
          </w:tcPr>
          <w:p w14:paraId="449957FD"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0,58 %</w:t>
            </w:r>
          </w:p>
        </w:tc>
      </w:tr>
      <w:tr w:rsidR="00085A12" w:rsidRPr="00F85558" w14:paraId="0A5FEBD4" w14:textId="77777777" w:rsidTr="00CE2C9E">
        <w:tc>
          <w:tcPr>
            <w:tcW w:w="1631" w:type="dxa"/>
            <w:vAlign w:val="center"/>
          </w:tcPr>
          <w:p w14:paraId="7F55271E"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Aluminium</w:t>
            </w:r>
          </w:p>
        </w:tc>
        <w:tc>
          <w:tcPr>
            <w:tcW w:w="1678" w:type="dxa"/>
          </w:tcPr>
          <w:p w14:paraId="00CAABD4"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7,50 %</w:t>
            </w:r>
          </w:p>
        </w:tc>
        <w:tc>
          <w:tcPr>
            <w:tcW w:w="1639" w:type="dxa"/>
          </w:tcPr>
          <w:p w14:paraId="7A2E964A"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Potassium </w:t>
            </w:r>
          </w:p>
        </w:tc>
        <w:tc>
          <w:tcPr>
            <w:tcW w:w="1678" w:type="dxa"/>
          </w:tcPr>
          <w:p w14:paraId="68489083"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2,40 %</w:t>
            </w:r>
          </w:p>
        </w:tc>
        <w:tc>
          <w:tcPr>
            <w:tcW w:w="1621" w:type="dxa"/>
          </w:tcPr>
          <w:p w14:paraId="42DCF218"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Chlore</w:t>
            </w:r>
          </w:p>
        </w:tc>
        <w:tc>
          <w:tcPr>
            <w:tcW w:w="1679" w:type="dxa"/>
          </w:tcPr>
          <w:p w14:paraId="314049E7"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0,19 %</w:t>
            </w:r>
          </w:p>
        </w:tc>
      </w:tr>
      <w:tr w:rsidR="00085A12" w:rsidRPr="00F85558" w14:paraId="01F91EB4" w14:textId="77777777" w:rsidTr="00CE2C9E">
        <w:tc>
          <w:tcPr>
            <w:tcW w:w="1631" w:type="dxa"/>
            <w:vAlign w:val="center"/>
          </w:tcPr>
          <w:p w14:paraId="1CE6CD61"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Calcium</w:t>
            </w:r>
          </w:p>
        </w:tc>
        <w:tc>
          <w:tcPr>
            <w:tcW w:w="1678" w:type="dxa"/>
          </w:tcPr>
          <w:p w14:paraId="5D61BFE7"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3,40 %</w:t>
            </w:r>
          </w:p>
        </w:tc>
        <w:tc>
          <w:tcPr>
            <w:tcW w:w="1639" w:type="dxa"/>
          </w:tcPr>
          <w:p w14:paraId="0A0BED91"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Magnésium </w:t>
            </w:r>
          </w:p>
        </w:tc>
        <w:tc>
          <w:tcPr>
            <w:tcW w:w="1678" w:type="dxa"/>
          </w:tcPr>
          <w:p w14:paraId="06A595B1"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1,90 %</w:t>
            </w:r>
          </w:p>
        </w:tc>
        <w:tc>
          <w:tcPr>
            <w:tcW w:w="1621" w:type="dxa"/>
          </w:tcPr>
          <w:p w14:paraId="196C5BC1"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Carbone </w:t>
            </w:r>
          </w:p>
        </w:tc>
        <w:tc>
          <w:tcPr>
            <w:tcW w:w="1679" w:type="dxa"/>
          </w:tcPr>
          <w:p w14:paraId="6D08B448"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0,09 %</w:t>
            </w:r>
          </w:p>
        </w:tc>
      </w:tr>
      <w:tr w:rsidR="00085A12" w:rsidRPr="00F85558" w14:paraId="34E12BB4" w14:textId="77777777" w:rsidTr="00CE2C9E">
        <w:tc>
          <w:tcPr>
            <w:tcW w:w="9926" w:type="dxa"/>
            <w:gridSpan w:val="6"/>
          </w:tcPr>
          <w:p w14:paraId="4D1B8C46" w14:textId="77777777" w:rsidR="00085A12" w:rsidRPr="00F85558" w:rsidRDefault="00085A12" w:rsidP="0084421A">
            <w:pPr>
              <w:snapToGrid w:val="0"/>
              <w:spacing w:after="60"/>
              <w:jc w:val="center"/>
              <w:rPr>
                <w:rFonts w:ascii="Times New Roman" w:hAnsi="Times New Roman" w:cs="Times New Roman"/>
                <w:sz w:val="20"/>
                <w:szCs w:val="20"/>
              </w:rPr>
            </w:pPr>
            <w:r w:rsidRPr="00F85558">
              <w:rPr>
                <w:rFonts w:ascii="Times New Roman" w:hAnsi="Times New Roman" w:cs="Times New Roman"/>
                <w:sz w:val="20"/>
                <w:szCs w:val="20"/>
              </w:rPr>
              <w:t>Tous les autres : 0,56 %</w:t>
            </w:r>
          </w:p>
        </w:tc>
      </w:tr>
    </w:tbl>
    <w:p w14:paraId="38A57064" w14:textId="77777777" w:rsidR="00085A12" w:rsidRDefault="00085A12" w:rsidP="0084421A">
      <w:pPr>
        <w:snapToGrid w:val="0"/>
        <w:spacing w:before="120" w:after="120" w:line="240" w:lineRule="auto"/>
        <w:jc w:val="both"/>
        <w:rPr>
          <w:rFonts w:ascii="Times New Roman" w:hAnsi="Times New Roman" w:cs="Times New Roman"/>
        </w:rPr>
      </w:pPr>
      <w:r w:rsidRPr="002773A6">
        <w:rPr>
          <w:rFonts w:ascii="Times New Roman" w:hAnsi="Times New Roman" w:cs="Times New Roman"/>
          <w:b/>
        </w:rPr>
        <w:t>Exemple 2</w:t>
      </w:r>
      <w:r>
        <w:rPr>
          <w:rFonts w:ascii="Times New Roman" w:hAnsi="Times New Roman" w:cs="Times New Roman"/>
        </w:rPr>
        <w:t> : Les éléments entrant dans la composition de la matière vivante (animaux et végétaux) sont, en pourcentages massiques :</w:t>
      </w:r>
    </w:p>
    <w:tbl>
      <w:tblPr>
        <w:tblStyle w:val="Grilledutableau"/>
        <w:tblW w:w="0" w:type="auto"/>
        <w:tblLook w:val="04A0" w:firstRow="1" w:lastRow="0" w:firstColumn="1" w:lastColumn="0" w:noHBand="0" w:noVBand="1"/>
      </w:tblPr>
      <w:tblGrid>
        <w:gridCol w:w="1687"/>
        <w:gridCol w:w="1716"/>
        <w:gridCol w:w="1681"/>
        <w:gridCol w:w="1716"/>
        <w:gridCol w:w="1697"/>
        <w:gridCol w:w="1717"/>
      </w:tblGrid>
      <w:tr w:rsidR="00085A12" w:rsidRPr="00F85558" w14:paraId="3B32A72D" w14:textId="77777777" w:rsidTr="00CE2C9E">
        <w:tc>
          <w:tcPr>
            <w:tcW w:w="1798" w:type="dxa"/>
            <w:vAlign w:val="center"/>
          </w:tcPr>
          <w:p w14:paraId="3DD57BE7"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Eléments</w:t>
            </w:r>
          </w:p>
        </w:tc>
        <w:tc>
          <w:tcPr>
            <w:tcW w:w="1798" w:type="dxa"/>
            <w:vAlign w:val="center"/>
          </w:tcPr>
          <w:p w14:paraId="41FF2303"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Pourcentage</w:t>
            </w:r>
          </w:p>
        </w:tc>
        <w:tc>
          <w:tcPr>
            <w:tcW w:w="1798" w:type="dxa"/>
            <w:vAlign w:val="center"/>
          </w:tcPr>
          <w:p w14:paraId="73EEF89D"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Eléments</w:t>
            </w:r>
          </w:p>
        </w:tc>
        <w:tc>
          <w:tcPr>
            <w:tcW w:w="1798" w:type="dxa"/>
            <w:vAlign w:val="center"/>
          </w:tcPr>
          <w:p w14:paraId="31C486AA"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Pourcentage</w:t>
            </w:r>
          </w:p>
        </w:tc>
        <w:tc>
          <w:tcPr>
            <w:tcW w:w="1799" w:type="dxa"/>
            <w:vAlign w:val="center"/>
          </w:tcPr>
          <w:p w14:paraId="5B6EE353"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Eléments</w:t>
            </w:r>
          </w:p>
        </w:tc>
        <w:tc>
          <w:tcPr>
            <w:tcW w:w="1799" w:type="dxa"/>
            <w:vAlign w:val="center"/>
          </w:tcPr>
          <w:p w14:paraId="4813D080" w14:textId="77777777" w:rsidR="00085A12" w:rsidRPr="00F85558" w:rsidRDefault="00085A12" w:rsidP="0084421A">
            <w:pPr>
              <w:snapToGrid w:val="0"/>
              <w:spacing w:after="60"/>
              <w:jc w:val="center"/>
              <w:rPr>
                <w:rFonts w:ascii="Times New Roman" w:hAnsi="Times New Roman" w:cs="Times New Roman"/>
                <w:b/>
                <w:sz w:val="20"/>
                <w:szCs w:val="20"/>
              </w:rPr>
            </w:pPr>
            <w:r w:rsidRPr="00F85558">
              <w:rPr>
                <w:rFonts w:ascii="Times New Roman" w:hAnsi="Times New Roman" w:cs="Times New Roman"/>
                <w:b/>
                <w:sz w:val="20"/>
                <w:szCs w:val="20"/>
              </w:rPr>
              <w:t>Pourcentage</w:t>
            </w:r>
          </w:p>
        </w:tc>
      </w:tr>
      <w:tr w:rsidR="00085A12" w:rsidRPr="00F85558" w14:paraId="7AB94464" w14:textId="77777777" w:rsidTr="00CE2C9E">
        <w:tc>
          <w:tcPr>
            <w:tcW w:w="1798" w:type="dxa"/>
            <w:vAlign w:val="center"/>
          </w:tcPr>
          <w:p w14:paraId="214439AC"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Oxygène</w:t>
            </w:r>
          </w:p>
        </w:tc>
        <w:tc>
          <w:tcPr>
            <w:tcW w:w="1798" w:type="dxa"/>
          </w:tcPr>
          <w:p w14:paraId="51654A88"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64,60 %</w:t>
            </w:r>
          </w:p>
        </w:tc>
        <w:tc>
          <w:tcPr>
            <w:tcW w:w="1798" w:type="dxa"/>
            <w:vAlign w:val="center"/>
          </w:tcPr>
          <w:p w14:paraId="35E93573"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Calcium</w:t>
            </w:r>
          </w:p>
        </w:tc>
        <w:tc>
          <w:tcPr>
            <w:tcW w:w="1798" w:type="dxa"/>
          </w:tcPr>
          <w:p w14:paraId="4EB441C9"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1,90 %</w:t>
            </w:r>
          </w:p>
        </w:tc>
        <w:tc>
          <w:tcPr>
            <w:tcW w:w="1799" w:type="dxa"/>
          </w:tcPr>
          <w:p w14:paraId="744CA105"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Soufre </w:t>
            </w:r>
          </w:p>
        </w:tc>
        <w:tc>
          <w:tcPr>
            <w:tcW w:w="1799" w:type="dxa"/>
          </w:tcPr>
          <w:p w14:paraId="3ACA3753"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0,25 %</w:t>
            </w:r>
          </w:p>
        </w:tc>
      </w:tr>
      <w:tr w:rsidR="00085A12" w:rsidRPr="00F85558" w14:paraId="035AB6D2" w14:textId="77777777" w:rsidTr="00CE2C9E">
        <w:tc>
          <w:tcPr>
            <w:tcW w:w="1798" w:type="dxa"/>
          </w:tcPr>
          <w:p w14:paraId="308196FB"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Carbone </w:t>
            </w:r>
          </w:p>
        </w:tc>
        <w:tc>
          <w:tcPr>
            <w:tcW w:w="1798" w:type="dxa"/>
          </w:tcPr>
          <w:p w14:paraId="7689EF53"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18,00 %</w:t>
            </w:r>
          </w:p>
        </w:tc>
        <w:tc>
          <w:tcPr>
            <w:tcW w:w="1798" w:type="dxa"/>
          </w:tcPr>
          <w:p w14:paraId="24AF42AF"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Phosphore</w:t>
            </w:r>
          </w:p>
        </w:tc>
        <w:tc>
          <w:tcPr>
            <w:tcW w:w="1798" w:type="dxa"/>
          </w:tcPr>
          <w:p w14:paraId="729DED0B"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1,10 %</w:t>
            </w:r>
          </w:p>
        </w:tc>
        <w:tc>
          <w:tcPr>
            <w:tcW w:w="1799" w:type="dxa"/>
          </w:tcPr>
          <w:p w14:paraId="2F9BA50D"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Sodium</w:t>
            </w:r>
          </w:p>
        </w:tc>
        <w:tc>
          <w:tcPr>
            <w:tcW w:w="1799" w:type="dxa"/>
          </w:tcPr>
          <w:p w14:paraId="0117A67D"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0,11 %</w:t>
            </w:r>
          </w:p>
        </w:tc>
      </w:tr>
      <w:tr w:rsidR="00085A12" w:rsidRPr="00F85558" w14:paraId="375F4FB8" w14:textId="77777777" w:rsidTr="00CE2C9E">
        <w:tc>
          <w:tcPr>
            <w:tcW w:w="1798" w:type="dxa"/>
          </w:tcPr>
          <w:p w14:paraId="4A244C9D"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Hydrogène</w:t>
            </w:r>
          </w:p>
        </w:tc>
        <w:tc>
          <w:tcPr>
            <w:tcW w:w="1798" w:type="dxa"/>
          </w:tcPr>
          <w:p w14:paraId="6D9BFC74"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10,00 %</w:t>
            </w:r>
          </w:p>
        </w:tc>
        <w:tc>
          <w:tcPr>
            <w:tcW w:w="1798" w:type="dxa"/>
          </w:tcPr>
          <w:p w14:paraId="1430F1CB"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Chlore</w:t>
            </w:r>
          </w:p>
        </w:tc>
        <w:tc>
          <w:tcPr>
            <w:tcW w:w="1798" w:type="dxa"/>
          </w:tcPr>
          <w:p w14:paraId="34B8B1C4"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0,40 %</w:t>
            </w:r>
          </w:p>
        </w:tc>
        <w:tc>
          <w:tcPr>
            <w:tcW w:w="1799" w:type="dxa"/>
          </w:tcPr>
          <w:p w14:paraId="2C888ECF"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Magnésium </w:t>
            </w:r>
          </w:p>
        </w:tc>
        <w:tc>
          <w:tcPr>
            <w:tcW w:w="1799" w:type="dxa"/>
          </w:tcPr>
          <w:p w14:paraId="0DDB768A"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0,03 %</w:t>
            </w:r>
          </w:p>
        </w:tc>
      </w:tr>
      <w:tr w:rsidR="00085A12" w:rsidRPr="00F85558" w14:paraId="1D8BC3AC" w14:textId="77777777" w:rsidTr="00CE2C9E">
        <w:trPr>
          <w:trHeight w:val="71"/>
        </w:trPr>
        <w:tc>
          <w:tcPr>
            <w:tcW w:w="1798" w:type="dxa"/>
            <w:vAlign w:val="center"/>
          </w:tcPr>
          <w:p w14:paraId="5E82198A" w14:textId="77777777" w:rsidR="00085A12" w:rsidRPr="00F85558" w:rsidRDefault="00085A12" w:rsidP="0084421A">
            <w:pPr>
              <w:snapToGrid w:val="0"/>
              <w:spacing w:after="60"/>
              <w:rPr>
                <w:rFonts w:ascii="Times New Roman" w:hAnsi="Times New Roman" w:cs="Times New Roman"/>
                <w:sz w:val="20"/>
                <w:szCs w:val="20"/>
              </w:rPr>
            </w:pPr>
            <w:r w:rsidRPr="00F85558">
              <w:rPr>
                <w:rFonts w:ascii="Times New Roman" w:hAnsi="Times New Roman" w:cs="Times New Roman"/>
                <w:sz w:val="20"/>
                <w:szCs w:val="20"/>
              </w:rPr>
              <w:t>Azote</w:t>
            </w:r>
          </w:p>
        </w:tc>
        <w:tc>
          <w:tcPr>
            <w:tcW w:w="1798" w:type="dxa"/>
          </w:tcPr>
          <w:p w14:paraId="401A98DA"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3,10 %</w:t>
            </w:r>
          </w:p>
        </w:tc>
        <w:tc>
          <w:tcPr>
            <w:tcW w:w="1798" w:type="dxa"/>
          </w:tcPr>
          <w:p w14:paraId="5766B53E" w14:textId="77777777" w:rsidR="00085A12" w:rsidRPr="00F85558" w:rsidRDefault="00085A12" w:rsidP="0084421A">
            <w:pPr>
              <w:snapToGrid w:val="0"/>
              <w:spacing w:after="60"/>
              <w:jc w:val="both"/>
              <w:rPr>
                <w:rFonts w:ascii="Times New Roman" w:hAnsi="Times New Roman" w:cs="Times New Roman"/>
                <w:sz w:val="20"/>
                <w:szCs w:val="20"/>
              </w:rPr>
            </w:pPr>
            <w:r w:rsidRPr="00F85558">
              <w:rPr>
                <w:rFonts w:ascii="Times New Roman" w:hAnsi="Times New Roman" w:cs="Times New Roman"/>
                <w:sz w:val="20"/>
                <w:szCs w:val="20"/>
              </w:rPr>
              <w:t xml:space="preserve">Potassium </w:t>
            </w:r>
          </w:p>
        </w:tc>
        <w:tc>
          <w:tcPr>
            <w:tcW w:w="1798" w:type="dxa"/>
          </w:tcPr>
          <w:p w14:paraId="1A43E165" w14:textId="77777777" w:rsidR="00085A12" w:rsidRPr="00F85558" w:rsidRDefault="00085A12" w:rsidP="0084421A">
            <w:pPr>
              <w:snapToGrid w:val="0"/>
              <w:spacing w:after="60"/>
              <w:jc w:val="right"/>
              <w:rPr>
                <w:rFonts w:ascii="Times New Roman" w:hAnsi="Times New Roman" w:cs="Times New Roman"/>
                <w:sz w:val="20"/>
                <w:szCs w:val="20"/>
              </w:rPr>
            </w:pPr>
            <w:r w:rsidRPr="00F85558">
              <w:rPr>
                <w:rFonts w:ascii="Times New Roman" w:hAnsi="Times New Roman" w:cs="Times New Roman"/>
                <w:sz w:val="20"/>
                <w:szCs w:val="20"/>
              </w:rPr>
              <w:t>0,36 %</w:t>
            </w:r>
          </w:p>
        </w:tc>
        <w:tc>
          <w:tcPr>
            <w:tcW w:w="1799" w:type="dxa"/>
          </w:tcPr>
          <w:p w14:paraId="392A9950" w14:textId="77777777" w:rsidR="00085A12" w:rsidRPr="00F85558" w:rsidRDefault="00085A12" w:rsidP="0084421A">
            <w:pPr>
              <w:snapToGrid w:val="0"/>
              <w:spacing w:after="60"/>
              <w:jc w:val="both"/>
              <w:rPr>
                <w:rFonts w:ascii="Times New Roman" w:hAnsi="Times New Roman" w:cs="Times New Roman"/>
                <w:sz w:val="20"/>
                <w:szCs w:val="20"/>
              </w:rPr>
            </w:pPr>
          </w:p>
        </w:tc>
        <w:tc>
          <w:tcPr>
            <w:tcW w:w="1799" w:type="dxa"/>
          </w:tcPr>
          <w:p w14:paraId="32485FB0" w14:textId="77777777" w:rsidR="00085A12" w:rsidRPr="00F85558" w:rsidRDefault="00085A12" w:rsidP="0084421A">
            <w:pPr>
              <w:snapToGrid w:val="0"/>
              <w:spacing w:after="60"/>
              <w:jc w:val="right"/>
              <w:rPr>
                <w:rFonts w:ascii="Times New Roman" w:hAnsi="Times New Roman" w:cs="Times New Roman"/>
                <w:sz w:val="20"/>
                <w:szCs w:val="20"/>
              </w:rPr>
            </w:pPr>
          </w:p>
        </w:tc>
      </w:tr>
    </w:tbl>
    <w:p w14:paraId="358656B6" w14:textId="5A1AC9AB" w:rsidR="00726B20" w:rsidRDefault="00726B20" w:rsidP="007B57C7">
      <w:pPr>
        <w:snapToGrid w:val="0"/>
        <w:spacing w:before="120" w:after="0" w:line="240" w:lineRule="auto"/>
        <w:jc w:val="both"/>
        <w:rPr>
          <w:rFonts w:ascii="Times New Roman" w:hAnsi="Times New Roman" w:cs="Times New Roman"/>
        </w:rPr>
      </w:pPr>
      <w:r>
        <w:rPr>
          <w:rFonts w:ascii="Times New Roman" w:hAnsi="Times New Roman" w:cs="Times New Roman"/>
        </w:rPr>
        <w:t>Ainsi, la classification périodique des éléments est un peu comme l’alphabet des chimistes ! C’est là que sont rangées toutes les lettres avec lesquelles ils écrivent (et décrivent) leurs mots.</w:t>
      </w:r>
    </w:p>
    <w:p w14:paraId="09BF9EDA" w14:textId="172A1A2B" w:rsidR="006E7D01" w:rsidRPr="00F85558" w:rsidRDefault="000F7616" w:rsidP="007B57C7">
      <w:pPr>
        <w:snapToGrid w:val="0"/>
        <w:spacing w:before="120" w:after="120" w:line="240" w:lineRule="auto"/>
        <w:jc w:val="both"/>
        <w:rPr>
          <w:rFonts w:ascii="Times New Roman" w:hAnsi="Times New Roman" w:cs="Times New Roman"/>
          <w:u w:val="single"/>
        </w:rPr>
      </w:pPr>
      <w:r>
        <w:rPr>
          <w:rFonts w:ascii="Times New Roman" w:hAnsi="Times New Roman" w:cs="Times New Roman"/>
          <w:u w:val="single"/>
        </w:rPr>
        <w:t>Questions</w:t>
      </w:r>
    </w:p>
    <w:p w14:paraId="48FAFAA5" w14:textId="77777777" w:rsidR="00F85558" w:rsidRPr="0025771F" w:rsidRDefault="00F85558" w:rsidP="0084421A">
      <w:pPr>
        <w:pStyle w:val="Paragraphedeliste"/>
        <w:numPr>
          <w:ilvl w:val="0"/>
          <w:numId w:val="2"/>
        </w:numPr>
        <w:snapToGrid w:val="0"/>
        <w:spacing w:after="120" w:line="240" w:lineRule="auto"/>
        <w:jc w:val="both"/>
        <w:rPr>
          <w:rFonts w:ascii="Times New Roman" w:hAnsi="Times New Roman" w:cs="Times New Roman"/>
        </w:rPr>
      </w:pPr>
      <w:r w:rsidRPr="0025771F">
        <w:rPr>
          <w:rFonts w:ascii="Times New Roman" w:hAnsi="Times New Roman" w:cs="Times New Roman"/>
        </w:rPr>
        <w:t>Y a-t-il des atomes d’eau ?</w:t>
      </w:r>
    </w:p>
    <w:p w14:paraId="173DC9EB" w14:textId="7ED2E1E4" w:rsidR="006E7D01" w:rsidRDefault="006E7D01" w:rsidP="0084421A">
      <w:pPr>
        <w:pStyle w:val="Paragraphedeliste"/>
        <w:numPr>
          <w:ilvl w:val="0"/>
          <w:numId w:val="2"/>
        </w:numPr>
        <w:snapToGrid w:val="0"/>
        <w:spacing w:after="120" w:line="240" w:lineRule="auto"/>
        <w:jc w:val="both"/>
        <w:rPr>
          <w:rFonts w:ascii="Times New Roman" w:hAnsi="Times New Roman" w:cs="Times New Roman"/>
        </w:rPr>
      </w:pPr>
      <w:r>
        <w:rPr>
          <w:rFonts w:ascii="Times New Roman" w:hAnsi="Times New Roman" w:cs="Times New Roman"/>
        </w:rPr>
        <w:t>Qu</w:t>
      </w:r>
      <w:r w:rsidR="00726B20">
        <w:rPr>
          <w:rFonts w:ascii="Times New Roman" w:hAnsi="Times New Roman" w:cs="Times New Roman"/>
        </w:rPr>
        <w:t>’ont</w:t>
      </w:r>
      <w:r>
        <w:rPr>
          <w:rFonts w:ascii="Times New Roman" w:hAnsi="Times New Roman" w:cs="Times New Roman"/>
        </w:rPr>
        <w:t xml:space="preserve"> en commun les </w:t>
      </w:r>
      <w:r w:rsidR="00F85558">
        <w:rPr>
          <w:rFonts w:ascii="Times New Roman" w:hAnsi="Times New Roman" w:cs="Times New Roman"/>
        </w:rPr>
        <w:t xml:space="preserve">différents </w:t>
      </w:r>
      <w:r>
        <w:rPr>
          <w:rFonts w:ascii="Times New Roman" w:hAnsi="Times New Roman" w:cs="Times New Roman"/>
        </w:rPr>
        <w:t xml:space="preserve">atomes </w:t>
      </w:r>
      <w:r w:rsidR="00F85558">
        <w:rPr>
          <w:rFonts w:ascii="Times New Roman" w:hAnsi="Times New Roman" w:cs="Times New Roman"/>
        </w:rPr>
        <w:t>d’</w:t>
      </w:r>
      <w:r>
        <w:rPr>
          <w:rFonts w:ascii="Times New Roman" w:hAnsi="Times New Roman" w:cs="Times New Roman"/>
        </w:rPr>
        <w:t xml:space="preserve">un </w:t>
      </w:r>
      <w:r w:rsidR="00F85558">
        <w:rPr>
          <w:rFonts w:ascii="Times New Roman" w:hAnsi="Times New Roman" w:cs="Times New Roman"/>
        </w:rPr>
        <w:t xml:space="preserve">même </w:t>
      </w:r>
      <w:r>
        <w:rPr>
          <w:rFonts w:ascii="Times New Roman" w:hAnsi="Times New Roman" w:cs="Times New Roman"/>
        </w:rPr>
        <w:t>élément chimique ?</w:t>
      </w:r>
    </w:p>
    <w:p w14:paraId="2661179B" w14:textId="1713C59E" w:rsidR="00F85558" w:rsidRPr="00F85558" w:rsidRDefault="00F85558" w:rsidP="0084421A">
      <w:pPr>
        <w:pStyle w:val="Paragraphedeliste"/>
        <w:numPr>
          <w:ilvl w:val="0"/>
          <w:numId w:val="2"/>
        </w:numPr>
        <w:snapToGrid w:val="0"/>
        <w:spacing w:after="120" w:line="240" w:lineRule="auto"/>
        <w:jc w:val="both"/>
        <w:rPr>
          <w:rFonts w:ascii="Times New Roman" w:hAnsi="Times New Roman" w:cs="Times New Roman"/>
        </w:rPr>
      </w:pPr>
      <w:r>
        <w:rPr>
          <w:rFonts w:ascii="Times New Roman" w:hAnsi="Times New Roman" w:cs="Times New Roman"/>
        </w:rPr>
        <w:t>P</w:t>
      </w:r>
      <w:r w:rsidR="00A00775">
        <w:rPr>
          <w:rFonts w:ascii="Times New Roman" w:hAnsi="Times New Roman" w:cs="Times New Roman"/>
        </w:rPr>
        <w:t xml:space="preserve">ourquoi ne faut-il pas confondre </w:t>
      </w:r>
      <w:r>
        <w:rPr>
          <w:rFonts w:ascii="Times New Roman" w:hAnsi="Times New Roman" w:cs="Times New Roman"/>
        </w:rPr>
        <w:t xml:space="preserve">un corps pur simple </w:t>
      </w:r>
      <w:r w:rsidR="00A00775">
        <w:rPr>
          <w:rFonts w:ascii="Times New Roman" w:hAnsi="Times New Roman" w:cs="Times New Roman"/>
        </w:rPr>
        <w:t>et so</w:t>
      </w:r>
      <w:r>
        <w:rPr>
          <w:rFonts w:ascii="Times New Roman" w:hAnsi="Times New Roman" w:cs="Times New Roman"/>
        </w:rPr>
        <w:t>n élément chimique</w:t>
      </w:r>
      <w:r w:rsidR="00A00775">
        <w:rPr>
          <w:rFonts w:ascii="Times New Roman" w:hAnsi="Times New Roman" w:cs="Times New Roman"/>
        </w:rPr>
        <w:t xml:space="preserve"> associé</w:t>
      </w:r>
      <w:r>
        <w:rPr>
          <w:rFonts w:ascii="Times New Roman" w:hAnsi="Times New Roman" w:cs="Times New Roman"/>
        </w:rPr>
        <w:t> ?</w:t>
      </w:r>
    </w:p>
    <w:sectPr w:rsidR="00F85558" w:rsidRPr="00F85558" w:rsidSect="0084421A">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011E1"/>
    <w:multiLevelType w:val="hybridMultilevel"/>
    <w:tmpl w:val="3C14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D11012"/>
    <w:multiLevelType w:val="hybridMultilevel"/>
    <w:tmpl w:val="6C963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5876F9"/>
    <w:multiLevelType w:val="hybridMultilevel"/>
    <w:tmpl w:val="4482904C"/>
    <w:lvl w:ilvl="0" w:tplc="38187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1840206">
    <w:abstractNumId w:val="1"/>
  </w:num>
  <w:num w:numId="2" w16cid:durableId="2070036122">
    <w:abstractNumId w:val="2"/>
  </w:num>
  <w:num w:numId="3" w16cid:durableId="8916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DAD"/>
    <w:rsid w:val="000075CD"/>
    <w:rsid w:val="0006173E"/>
    <w:rsid w:val="00085A12"/>
    <w:rsid w:val="000A0182"/>
    <w:rsid w:val="000C4232"/>
    <w:rsid w:val="000E544D"/>
    <w:rsid w:val="000F7616"/>
    <w:rsid w:val="001960AE"/>
    <w:rsid w:val="001D7A35"/>
    <w:rsid w:val="001E4479"/>
    <w:rsid w:val="001F71A0"/>
    <w:rsid w:val="002773A6"/>
    <w:rsid w:val="002B49E2"/>
    <w:rsid w:val="002E1387"/>
    <w:rsid w:val="00337B5A"/>
    <w:rsid w:val="004A3CFA"/>
    <w:rsid w:val="004C533C"/>
    <w:rsid w:val="00502196"/>
    <w:rsid w:val="00562A6F"/>
    <w:rsid w:val="005D3A30"/>
    <w:rsid w:val="006309AD"/>
    <w:rsid w:val="006713E8"/>
    <w:rsid w:val="006C2B97"/>
    <w:rsid w:val="006E7D01"/>
    <w:rsid w:val="006F1286"/>
    <w:rsid w:val="00726B20"/>
    <w:rsid w:val="007606F3"/>
    <w:rsid w:val="007B57C7"/>
    <w:rsid w:val="0084421A"/>
    <w:rsid w:val="00912B49"/>
    <w:rsid w:val="00954C75"/>
    <w:rsid w:val="009D74FD"/>
    <w:rsid w:val="00A00775"/>
    <w:rsid w:val="00A01F02"/>
    <w:rsid w:val="00A37BE2"/>
    <w:rsid w:val="00A6419D"/>
    <w:rsid w:val="00C109BD"/>
    <w:rsid w:val="00C51DAD"/>
    <w:rsid w:val="00D05861"/>
    <w:rsid w:val="00D40E69"/>
    <w:rsid w:val="00D45E6E"/>
    <w:rsid w:val="00D82A42"/>
    <w:rsid w:val="00DF0250"/>
    <w:rsid w:val="00E051DC"/>
    <w:rsid w:val="00E36EF6"/>
    <w:rsid w:val="00E6727E"/>
    <w:rsid w:val="00E839A1"/>
    <w:rsid w:val="00EB35E5"/>
    <w:rsid w:val="00EB4B15"/>
    <w:rsid w:val="00F00193"/>
    <w:rsid w:val="00F457F4"/>
    <w:rsid w:val="00F85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5E4E"/>
  <w15:chartTrackingRefBased/>
  <w15:docId w15:val="{8949497D-FA78-4191-9B01-29003487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DAD"/>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51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6419D"/>
    <w:pPr>
      <w:ind w:left="720"/>
      <w:contextualSpacing/>
    </w:pPr>
  </w:style>
  <w:style w:type="character" w:styleId="Marquedecommentaire">
    <w:name w:val="annotation reference"/>
    <w:basedOn w:val="Policepardfaut"/>
    <w:uiPriority w:val="99"/>
    <w:semiHidden/>
    <w:unhideWhenUsed/>
    <w:rsid w:val="00A01F02"/>
    <w:rPr>
      <w:sz w:val="16"/>
      <w:szCs w:val="16"/>
    </w:rPr>
  </w:style>
  <w:style w:type="paragraph" w:styleId="Commentaire">
    <w:name w:val="annotation text"/>
    <w:basedOn w:val="Normal"/>
    <w:link w:val="CommentaireCar"/>
    <w:uiPriority w:val="99"/>
    <w:semiHidden/>
    <w:unhideWhenUsed/>
    <w:rsid w:val="00A01F02"/>
    <w:pPr>
      <w:spacing w:line="240" w:lineRule="auto"/>
    </w:pPr>
    <w:rPr>
      <w:sz w:val="20"/>
      <w:szCs w:val="20"/>
    </w:rPr>
  </w:style>
  <w:style w:type="character" w:customStyle="1" w:styleId="CommentaireCar">
    <w:name w:val="Commentaire Car"/>
    <w:basedOn w:val="Policepardfaut"/>
    <w:link w:val="Commentaire"/>
    <w:uiPriority w:val="99"/>
    <w:semiHidden/>
    <w:rsid w:val="00A01F02"/>
    <w:rPr>
      <w:sz w:val="20"/>
      <w:szCs w:val="20"/>
      <w:lang w:val="fr-FR"/>
    </w:rPr>
  </w:style>
  <w:style w:type="paragraph" w:styleId="Objetducommentaire">
    <w:name w:val="annotation subject"/>
    <w:basedOn w:val="Commentaire"/>
    <w:next w:val="Commentaire"/>
    <w:link w:val="ObjetducommentaireCar"/>
    <w:uiPriority w:val="99"/>
    <w:semiHidden/>
    <w:unhideWhenUsed/>
    <w:rsid w:val="00A01F02"/>
    <w:rPr>
      <w:b/>
      <w:bCs/>
    </w:rPr>
  </w:style>
  <w:style w:type="character" w:customStyle="1" w:styleId="ObjetducommentaireCar">
    <w:name w:val="Objet du commentaire Car"/>
    <w:basedOn w:val="CommentaireCar"/>
    <w:link w:val="Objetducommentaire"/>
    <w:uiPriority w:val="99"/>
    <w:semiHidden/>
    <w:rsid w:val="00A01F02"/>
    <w:rPr>
      <w:b/>
      <w:bCs/>
      <w:sz w:val="20"/>
      <w:szCs w:val="20"/>
      <w:lang w:val="fr-FR"/>
    </w:rPr>
  </w:style>
  <w:style w:type="paragraph" w:styleId="Textedebulles">
    <w:name w:val="Balloon Text"/>
    <w:basedOn w:val="Normal"/>
    <w:link w:val="TextedebullesCar"/>
    <w:uiPriority w:val="99"/>
    <w:semiHidden/>
    <w:unhideWhenUsed/>
    <w:rsid w:val="004C53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533C"/>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1D0EA0D4E04E4FA7A42BAE95D4A200" ma:contentTypeVersion="12" ma:contentTypeDescription="Crée un document." ma:contentTypeScope="" ma:versionID="805e1f273e18caa93a39c811501c244f">
  <xsd:schema xmlns:xsd="http://www.w3.org/2001/XMLSchema" xmlns:xs="http://www.w3.org/2001/XMLSchema" xmlns:p="http://schemas.microsoft.com/office/2006/metadata/properties" xmlns:ns2="9d0b55f4-2809-4223-a844-fa6629e52ccf" xmlns:ns3="f1a83082-299a-4e9d-a66f-9f48e52fe7ec" targetNamespace="http://schemas.microsoft.com/office/2006/metadata/properties" ma:root="true" ma:fieldsID="c714ea2e57b46430b6689e741324a0aa" ns2:_="" ns3:_="">
    <xsd:import namespace="9d0b55f4-2809-4223-a844-fa6629e52ccf"/>
    <xsd:import namespace="f1a83082-299a-4e9d-a66f-9f48e52fe7ec"/>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3:MediaLengthInSecond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e230e2c6-3329-437d-b303-1da582b1c2ff}" ma:internalName="TaxCatchAll" ma:showField="CatchAllData" ma:web="806b02f2-d264-4f87-a7fb-48e83fc5947b">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230e2c6-3329-437d-b303-1da582b1c2ff}" ma:internalName="TaxCatchAllLabel" ma:readOnly="true" ma:showField="CatchAllDataLabel" ma:web="806b02f2-d264-4f87-a7fb-48e83fc59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1a83082-299a-4e9d-a66f-9f48e52fe7e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RGPD xmlns="9d0b55f4-2809-4223-a844-fa6629e52ccf" xsi:nil="true"/>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lcf76f155ced4ddcb4097134ff3c332f xmlns="f1a83082-299a-4e9d-a66f-9f48e52fe7ec">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ba8ea352-da58-48e4-ac02-2b110b1a3fed" ContentTypeId="0x0101" PreviousValue="false"/>
</file>

<file path=customXml/itemProps1.xml><?xml version="1.0" encoding="utf-8"?>
<ds:datastoreItem xmlns:ds="http://schemas.openxmlformats.org/officeDocument/2006/customXml" ds:itemID="{49EFE07A-047B-4D56-B7D2-DEBC0C6F87D9}">
  <ds:schemaRefs>
    <ds:schemaRef ds:uri="http://schemas.openxmlformats.org/officeDocument/2006/bibliography"/>
  </ds:schemaRefs>
</ds:datastoreItem>
</file>

<file path=customXml/itemProps2.xml><?xml version="1.0" encoding="utf-8"?>
<ds:datastoreItem xmlns:ds="http://schemas.openxmlformats.org/officeDocument/2006/customXml" ds:itemID="{299453CD-7FA5-4155-9B4E-738E63704B54}"/>
</file>

<file path=customXml/itemProps3.xml><?xml version="1.0" encoding="utf-8"?>
<ds:datastoreItem xmlns:ds="http://schemas.openxmlformats.org/officeDocument/2006/customXml" ds:itemID="{7771E1FE-69AC-4CF5-A353-9D1801B9D6DD}"/>
</file>

<file path=customXml/itemProps4.xml><?xml version="1.0" encoding="utf-8"?>
<ds:datastoreItem xmlns:ds="http://schemas.openxmlformats.org/officeDocument/2006/customXml" ds:itemID="{7176DD59-9718-44DA-B0B9-310B1D172F8E}"/>
</file>

<file path=customXml/itemProps5.xml><?xml version="1.0" encoding="utf-8"?>
<ds:datastoreItem xmlns:ds="http://schemas.openxmlformats.org/officeDocument/2006/customXml" ds:itemID="{C9EEB275-AAC3-4F30-B451-003BF19376ED}"/>
</file>

<file path=docProps/app.xml><?xml version="1.0" encoding="utf-8"?>
<Properties xmlns="http://schemas.openxmlformats.org/officeDocument/2006/extended-properties" xmlns:vt="http://schemas.openxmlformats.org/officeDocument/2006/docPropsVTypes">
  <Template>Normal</Template>
  <TotalTime>5</TotalTime>
  <Pages>1</Pages>
  <Words>457</Words>
  <Characters>2515</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Jean-Pierre Delaubier</cp:lastModifiedBy>
  <cp:revision>2</cp:revision>
  <dcterms:created xsi:type="dcterms:W3CDTF">2022-08-17T18:41:00Z</dcterms:created>
  <dcterms:modified xsi:type="dcterms:W3CDTF">2022-08-17T18:41:00Z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0x0101005B1D0EA0D4E04E4FA7A42BAE95D4A200</vt:lpwstr>
  </property>
  <property fmtid="{D5CDD505-2E9C-101B-9397-08002B2CF9AE}" pid="3" name="TypologieDocument">
    <vt:i4>1</vt:i4>
  </property>
</Properties>
</file>